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A9416" w14:textId="77777777" w:rsidR="006E6A36" w:rsidRDefault="00000000">
      <w:pPr>
        <w:shd w:val="clear" w:color="auto" w:fill="3B2D8F"/>
      </w:pPr>
      <w:r>
        <w:rPr>
          <w:sz w:val="8"/>
          <w:szCs w:val="8"/>
        </w:rPr>
        <w:t xml:space="preserve"> </w:t>
      </w:r>
    </w:p>
    <w:p w14:paraId="72EFC3EA" w14:textId="77777777" w:rsidR="006E6A36" w:rsidRDefault="00000000">
      <w:pPr>
        <w:spacing w:before="240" w:after="80"/>
        <w:jc w:val="center"/>
      </w:pPr>
      <w:r>
        <w:rPr>
          <w:b/>
          <w:bCs/>
          <w:caps/>
          <w:color w:val="1A1040"/>
          <w:sz w:val="20"/>
          <w:szCs w:val="20"/>
        </w:rPr>
        <w:t>ХАРКІВСЬКИЙ НАЦІОНАЛЬНИЙ УНІВЕРСИТЕТ імені В. Н. КАРАЗІНА</w:t>
      </w:r>
    </w:p>
    <w:p w14:paraId="733BE37D" w14:textId="77777777" w:rsidR="006E6A36" w:rsidRDefault="00000000">
      <w:pPr>
        <w:spacing w:after="80"/>
        <w:jc w:val="center"/>
      </w:pPr>
      <w:r>
        <w:rPr>
          <w:color w:val="1A1040"/>
          <w:sz w:val="20"/>
          <w:szCs w:val="20"/>
        </w:rPr>
        <w:t>Навчально-науковий інститут соціології та медіакомунікацій</w:t>
      </w:r>
    </w:p>
    <w:p w14:paraId="5B93196F" w14:textId="77777777" w:rsidR="006E6A36" w:rsidRDefault="006E6A36">
      <w:pPr>
        <w:pBdr>
          <w:bottom w:val="single" w:sz="6" w:space="1" w:color="3B2D8F"/>
        </w:pBdr>
      </w:pPr>
    </w:p>
    <w:p w14:paraId="3543AE3D" w14:textId="77777777" w:rsidR="006E6A36" w:rsidRDefault="006E6A36">
      <w:pPr>
        <w:spacing w:before="200"/>
      </w:pPr>
    </w:p>
    <w:p w14:paraId="008017C1" w14:textId="77777777" w:rsidR="006E6A36" w:rsidRDefault="00000000">
      <w:pPr>
        <w:spacing w:after="80"/>
        <w:jc w:val="center"/>
      </w:pPr>
      <w:r>
        <w:rPr>
          <w:b/>
          <w:bCs/>
          <w:caps/>
          <w:color w:val="3B2D8F"/>
          <w:sz w:val="32"/>
          <w:szCs w:val="32"/>
        </w:rPr>
        <w:t>АНАЛІТИЧНИЙ ЗВІТ</w:t>
      </w:r>
    </w:p>
    <w:p w14:paraId="4D1C066D" w14:textId="77777777" w:rsidR="006E6A36" w:rsidRDefault="00000000">
      <w:pPr>
        <w:spacing w:after="80"/>
        <w:jc w:val="center"/>
      </w:pPr>
      <w:r>
        <w:rPr>
          <w:color w:val="1A1040"/>
          <w:sz w:val="26"/>
          <w:szCs w:val="26"/>
        </w:rPr>
        <w:t>за результатами опитування роботодавців</w:t>
      </w:r>
    </w:p>
    <w:p w14:paraId="472F7018" w14:textId="77777777" w:rsidR="006E6A36" w:rsidRDefault="00000000">
      <w:pPr>
        <w:spacing w:after="200"/>
        <w:jc w:val="center"/>
      </w:pPr>
      <w:r>
        <w:rPr>
          <w:b/>
          <w:bCs/>
          <w:color w:val="1A1040"/>
          <w:sz w:val="26"/>
          <w:szCs w:val="26"/>
        </w:rPr>
        <w:t>освітньої програми «Цифровий соціум» (ЦС)</w:t>
      </w:r>
    </w:p>
    <w:p w14:paraId="01EC2EA0" w14:textId="77777777" w:rsidR="006E6A36" w:rsidRDefault="006E6A36">
      <w:pPr>
        <w:pBdr>
          <w:bottom w:val="single" w:sz="6" w:space="1" w:color="3B2D8F"/>
        </w:pBdr>
      </w:pPr>
    </w:p>
    <w:p w14:paraId="5CC564CC" w14:textId="77777777" w:rsidR="006E6A36" w:rsidRDefault="006E6A36">
      <w:pPr>
        <w:spacing w:before="1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526"/>
      </w:tblGrid>
      <w:tr w:rsidR="006E6A36" w14:paraId="63FDF926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1BB8DA8E" w14:textId="77777777" w:rsidR="006E6A36" w:rsidRDefault="00000000">
            <w:r>
              <w:rPr>
                <w:b/>
                <w:bCs/>
                <w:color w:val="1A1040"/>
                <w:sz w:val="20"/>
                <w:szCs w:val="20"/>
              </w:rPr>
              <w:t>Рівень ОПП:</w:t>
            </w:r>
          </w:p>
        </w:tc>
        <w:tc>
          <w:tcPr>
            <w:tcW w:w="65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1DA5280B" w14:textId="5A68DFE3" w:rsidR="006E6A36" w:rsidRDefault="00000000">
            <w:r>
              <w:rPr>
                <w:sz w:val="20"/>
                <w:szCs w:val="20"/>
              </w:rPr>
              <w:t>другий (магістерський)</w:t>
            </w:r>
          </w:p>
        </w:tc>
      </w:tr>
      <w:tr w:rsidR="006E6A36" w14:paraId="37372B0A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14C07C4" w14:textId="77777777" w:rsidR="006E6A36" w:rsidRDefault="00000000">
            <w:r>
              <w:rPr>
                <w:b/>
                <w:bCs/>
                <w:color w:val="1A1040"/>
                <w:sz w:val="20"/>
                <w:szCs w:val="20"/>
              </w:rPr>
              <w:t>Метод збору даних:</w:t>
            </w:r>
          </w:p>
        </w:tc>
        <w:tc>
          <w:tcPr>
            <w:tcW w:w="65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7CD29F53" w14:textId="77777777" w:rsidR="006E6A36" w:rsidRDefault="00000000">
            <w:r>
              <w:rPr>
                <w:sz w:val="20"/>
                <w:szCs w:val="20"/>
              </w:rPr>
              <w:t>Онлайн-анкетування (Google Forms)</w:t>
            </w:r>
          </w:p>
        </w:tc>
      </w:tr>
      <w:tr w:rsidR="006E6A36" w14:paraId="344A8DDF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5A7AEA16" w14:textId="77777777" w:rsidR="006E6A36" w:rsidRDefault="00000000">
            <w:r>
              <w:rPr>
                <w:b/>
                <w:bCs/>
                <w:color w:val="1A1040"/>
                <w:sz w:val="20"/>
                <w:szCs w:val="20"/>
              </w:rPr>
              <w:t>Період збору даних:</w:t>
            </w:r>
          </w:p>
        </w:tc>
        <w:tc>
          <w:tcPr>
            <w:tcW w:w="65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38732476" w14:textId="77777777" w:rsidR="006E6A36" w:rsidRDefault="00000000">
            <w:r>
              <w:rPr>
                <w:sz w:val="20"/>
                <w:szCs w:val="20"/>
              </w:rPr>
              <w:t>Березень 2026 року</w:t>
            </w:r>
          </w:p>
        </w:tc>
      </w:tr>
      <w:tr w:rsidR="006E6A36" w14:paraId="3E38AAFD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B317709" w14:textId="77777777" w:rsidR="006E6A36" w:rsidRDefault="00000000">
            <w:r>
              <w:rPr>
                <w:b/>
                <w:bCs/>
                <w:color w:val="1A1040"/>
                <w:sz w:val="20"/>
                <w:szCs w:val="20"/>
              </w:rPr>
              <w:t>Обсяг вибірки:</w:t>
            </w:r>
          </w:p>
        </w:tc>
        <w:tc>
          <w:tcPr>
            <w:tcW w:w="65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23B051A3" w14:textId="77777777" w:rsidR="006E6A36" w:rsidRDefault="00000000">
            <w:r>
              <w:rPr>
                <w:sz w:val="20"/>
                <w:szCs w:val="20"/>
              </w:rPr>
              <w:t>n = 2 роботодавці</w:t>
            </w:r>
          </w:p>
        </w:tc>
      </w:tr>
      <w:tr w:rsidR="006E6A36" w14:paraId="5A6BC756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1F047E69" w14:textId="77777777" w:rsidR="006E6A36" w:rsidRDefault="00000000">
            <w:r>
              <w:rPr>
                <w:b/>
                <w:bCs/>
                <w:color w:val="1A1040"/>
                <w:sz w:val="20"/>
                <w:szCs w:val="20"/>
              </w:rPr>
              <w:t>Складено:</w:t>
            </w:r>
          </w:p>
        </w:tc>
        <w:tc>
          <w:tcPr>
            <w:tcW w:w="65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0A723519" w14:textId="77777777" w:rsidR="006E6A36" w:rsidRDefault="00000000">
            <w:r>
              <w:rPr>
                <w:sz w:val="20"/>
                <w:szCs w:val="20"/>
              </w:rPr>
              <w:t>ННІ соціології та медіакомунікацій, 2026</w:t>
            </w:r>
          </w:p>
        </w:tc>
      </w:tr>
    </w:tbl>
    <w:p w14:paraId="73CB247A" w14:textId="77777777" w:rsidR="006E6A36" w:rsidRDefault="006E6A36">
      <w:pPr>
        <w:spacing w:before="200"/>
      </w:pPr>
    </w:p>
    <w:p w14:paraId="53434E49" w14:textId="77777777" w:rsidR="006E6A36" w:rsidRDefault="006E6A36">
      <w:pPr>
        <w:pBdr>
          <w:bottom w:val="single" w:sz="6" w:space="1" w:color="3B2D8F"/>
        </w:pBdr>
      </w:pPr>
    </w:p>
    <w:p w14:paraId="581F2AFF" w14:textId="77777777" w:rsidR="006E6A36" w:rsidRDefault="006E6A36">
      <w:pPr>
        <w:spacing w:before="400"/>
      </w:pPr>
    </w:p>
    <w:p w14:paraId="3EC168BB" w14:textId="77777777" w:rsidR="006E6A36" w:rsidRDefault="00000000">
      <w:pPr>
        <w:pStyle w:val="1"/>
      </w:pPr>
      <w:r>
        <w:t>1. Загальні відомості про опитування</w:t>
      </w:r>
    </w:p>
    <w:p w14:paraId="1CDB9D96" w14:textId="77777777" w:rsidR="006E6A36" w:rsidRDefault="00000000">
      <w:pPr>
        <w:spacing w:before="80" w:after="80"/>
        <w:jc w:val="both"/>
      </w:pPr>
      <w:r>
        <w:t xml:space="preserve">Опитування роботодавців за ОПП «Цифровий соціум» (ЦС) проводилося у </w:t>
      </w:r>
      <w:r>
        <w:rPr>
          <w:b/>
          <w:bCs/>
          <w:color w:val="1A1040"/>
        </w:rPr>
        <w:t>березні 2026 року</w:t>
      </w:r>
      <w:r>
        <w:t xml:space="preserve"> в онлайн-форматі (Google Forms). Метою було отримати зовнішній погляд на відповідність підготовки здобувачів реальним потребам ринку праці — зокрема з огляду на цифрову специфіку програми.</w:t>
      </w:r>
    </w:p>
    <w:p w14:paraId="30393A31" w14:textId="77777777" w:rsidR="006E6A36" w:rsidRDefault="00000000">
      <w:pPr>
        <w:spacing w:before="80" w:after="80"/>
        <w:jc w:val="both"/>
      </w:pPr>
      <w:r>
        <w:t xml:space="preserve">Відповіді надали </w:t>
      </w:r>
      <w:r>
        <w:rPr>
          <w:b/>
          <w:bCs/>
          <w:color w:val="1A1040"/>
        </w:rPr>
        <w:t>2 роботодавці</w:t>
      </w:r>
      <w:r>
        <w:t xml:space="preserve">. Один представляє </w:t>
      </w:r>
      <w:r>
        <w:rPr>
          <w:b/>
          <w:bCs/>
          <w:color w:val="1A1040"/>
        </w:rPr>
        <w:t>IT-сферу (приватний сектор)</w:t>
      </w:r>
      <w:r>
        <w:t xml:space="preserve"> і обіймає посаду менеджера / асистента директора. Другий представляє </w:t>
      </w:r>
      <w:r>
        <w:rPr>
          <w:b/>
          <w:bCs/>
          <w:color w:val="1A1040"/>
        </w:rPr>
        <w:t>науку та освіту (державний сектор)</w:t>
      </w:r>
      <w:r>
        <w:t xml:space="preserve"> і є керівником підрозділу. Обидва закінчили ХНУ імені В. Н. Каразіна. Через малий обсяг вибірки усі результати подаються як </w:t>
      </w:r>
      <w:r>
        <w:rPr>
          <w:b/>
          <w:bCs/>
          <w:color w:val="1A1040"/>
        </w:rPr>
        <w:t>описові характеристики індивідуальних відповідей</w:t>
      </w:r>
      <w:r>
        <w:t>, без узагальнення у відсотки.</w:t>
      </w:r>
    </w:p>
    <w:p w14:paraId="1E7A3435" w14:textId="77777777" w:rsidR="006E6A36" w:rsidRDefault="00000000">
      <w:pPr>
        <w:spacing w:before="80" w:after="80"/>
        <w:jc w:val="both"/>
      </w:pPr>
      <w:r>
        <w:t xml:space="preserve">Показово, що один із респондентів представляє саме </w:t>
      </w:r>
      <w:r>
        <w:rPr>
          <w:b/>
          <w:bCs/>
          <w:color w:val="1A1040"/>
        </w:rPr>
        <w:t>IT-сферу</w:t>
      </w:r>
      <w:r>
        <w:t xml:space="preserve"> — ринок праці, на який програма «Цифровий соціум» орієнтована передусім. Його відповіді мають особливу аналітичну цінність.</w:t>
      </w:r>
    </w:p>
    <w:p w14:paraId="513196E4" w14:textId="77777777" w:rsidR="006E6A36" w:rsidRDefault="006E6A36">
      <w:pPr>
        <w:spacing w:before="120"/>
      </w:pPr>
    </w:p>
    <w:p w14:paraId="76768729" w14:textId="77777777" w:rsidR="006E6A36" w:rsidRDefault="00000000">
      <w:pPr>
        <w:pStyle w:val="1"/>
      </w:pPr>
      <w:r>
        <w:t>2. Профіль респондентів</w:t>
      </w:r>
    </w:p>
    <w:p w14:paraId="3C2C2409" w14:textId="77777777" w:rsidR="006E6A36" w:rsidRDefault="00000000">
      <w:pPr>
        <w:spacing w:before="80" w:after="80"/>
        <w:jc w:val="both"/>
      </w:pPr>
      <w:r>
        <w:t>Нижче наведено основні характеристики двох учасників опитування.</w:t>
      </w:r>
    </w:p>
    <w:p w14:paraId="046F3594" w14:textId="77777777" w:rsidR="006E6A36" w:rsidRDefault="006E6A36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3413"/>
        <w:gridCol w:w="3413"/>
      </w:tblGrid>
      <w:tr w:rsidR="006E6A36" w14:paraId="0744C43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00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3B2D8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672D1B" w14:textId="77777777" w:rsidR="006E6A36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Характеристика</w:t>
            </w:r>
          </w:p>
        </w:tc>
        <w:tc>
          <w:tcPr>
            <w:tcW w:w="3413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3B2D8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3A4371" w14:textId="77777777" w:rsidR="006E6A36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Роботодавець 1</w:t>
            </w:r>
          </w:p>
        </w:tc>
        <w:tc>
          <w:tcPr>
            <w:tcW w:w="3413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3B2D8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3A2FB3" w14:textId="77777777" w:rsidR="006E6A36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Роботодавець 2</w:t>
            </w:r>
          </w:p>
        </w:tc>
      </w:tr>
      <w:tr w:rsidR="006E6A36" w14:paraId="73DAF03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F2F0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2831D1" w14:textId="77777777" w:rsidR="006E6A36" w:rsidRDefault="00000000">
            <w:r>
              <w:rPr>
                <w:b/>
                <w:bCs/>
                <w:color w:val="1A1040"/>
                <w:sz w:val="20"/>
                <w:szCs w:val="20"/>
              </w:rPr>
              <w:t>Галузь</w:t>
            </w:r>
          </w:p>
        </w:tc>
        <w:tc>
          <w:tcPr>
            <w:tcW w:w="3413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F2F0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0C15D6" w14:textId="77777777" w:rsidR="006E6A36" w:rsidRDefault="00000000">
            <w:r>
              <w:rPr>
                <w:sz w:val="20"/>
                <w:szCs w:val="20"/>
              </w:rPr>
              <w:t>IT-сфера</w:t>
            </w:r>
          </w:p>
        </w:tc>
        <w:tc>
          <w:tcPr>
            <w:tcW w:w="3413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F2F0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AE96C5" w14:textId="77777777" w:rsidR="006E6A36" w:rsidRDefault="00000000">
            <w:r>
              <w:rPr>
                <w:sz w:val="20"/>
                <w:szCs w:val="20"/>
              </w:rPr>
              <w:t>Наука, освіта</w:t>
            </w:r>
          </w:p>
        </w:tc>
      </w:tr>
      <w:tr w:rsidR="006E6A36" w14:paraId="54117C1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3E2FFE" w14:textId="77777777" w:rsidR="006E6A36" w:rsidRDefault="00000000">
            <w:r>
              <w:rPr>
                <w:b/>
                <w:bCs/>
                <w:color w:val="1A1040"/>
                <w:sz w:val="20"/>
                <w:szCs w:val="20"/>
              </w:rPr>
              <w:t>Сектор</w:t>
            </w:r>
          </w:p>
        </w:tc>
        <w:tc>
          <w:tcPr>
            <w:tcW w:w="3413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C3FE2A" w14:textId="77777777" w:rsidR="006E6A36" w:rsidRDefault="00000000">
            <w:r>
              <w:rPr>
                <w:sz w:val="20"/>
                <w:szCs w:val="20"/>
              </w:rPr>
              <w:t>Приватний</w:t>
            </w:r>
          </w:p>
        </w:tc>
        <w:tc>
          <w:tcPr>
            <w:tcW w:w="3413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FA5166" w14:textId="77777777" w:rsidR="006E6A36" w:rsidRDefault="00000000">
            <w:r>
              <w:rPr>
                <w:sz w:val="20"/>
                <w:szCs w:val="20"/>
              </w:rPr>
              <w:t>Державний</w:t>
            </w:r>
          </w:p>
        </w:tc>
      </w:tr>
      <w:tr w:rsidR="006E6A36" w14:paraId="64D1D23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F2F0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D33801" w14:textId="77777777" w:rsidR="006E6A36" w:rsidRDefault="00000000">
            <w:r>
              <w:rPr>
                <w:b/>
                <w:bCs/>
                <w:color w:val="1A1040"/>
                <w:sz w:val="20"/>
                <w:szCs w:val="20"/>
              </w:rPr>
              <w:lastRenderedPageBreak/>
              <w:t>Посада</w:t>
            </w:r>
          </w:p>
        </w:tc>
        <w:tc>
          <w:tcPr>
            <w:tcW w:w="3413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F2F0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18658A" w14:textId="77777777" w:rsidR="006E6A36" w:rsidRDefault="00000000">
            <w:r>
              <w:rPr>
                <w:sz w:val="20"/>
                <w:szCs w:val="20"/>
              </w:rPr>
              <w:t>Менеджер / асистент директора</w:t>
            </w:r>
          </w:p>
        </w:tc>
        <w:tc>
          <w:tcPr>
            <w:tcW w:w="3413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F2F0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FC3D8B" w14:textId="77777777" w:rsidR="006E6A36" w:rsidRDefault="00000000">
            <w:r>
              <w:rPr>
                <w:sz w:val="20"/>
                <w:szCs w:val="20"/>
              </w:rPr>
              <w:t>Керівник підрозділу / відділу</w:t>
            </w:r>
          </w:p>
        </w:tc>
      </w:tr>
      <w:tr w:rsidR="006E6A36" w14:paraId="404F80D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7B58B5" w14:textId="77777777" w:rsidR="006E6A36" w:rsidRDefault="00000000">
            <w:r>
              <w:rPr>
                <w:b/>
                <w:bCs/>
                <w:color w:val="1A1040"/>
                <w:sz w:val="20"/>
                <w:szCs w:val="20"/>
              </w:rPr>
              <w:t>ЗВО (закінчений)</w:t>
            </w:r>
          </w:p>
        </w:tc>
        <w:tc>
          <w:tcPr>
            <w:tcW w:w="3413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06FCD4" w14:textId="77777777" w:rsidR="006E6A36" w:rsidRDefault="00000000">
            <w:r>
              <w:rPr>
                <w:sz w:val="20"/>
                <w:szCs w:val="20"/>
              </w:rPr>
              <w:t>ХНУ ім. В. Н. Каразіна</w:t>
            </w:r>
          </w:p>
        </w:tc>
        <w:tc>
          <w:tcPr>
            <w:tcW w:w="3413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1E527D" w14:textId="77777777" w:rsidR="006E6A36" w:rsidRDefault="00000000">
            <w:r>
              <w:rPr>
                <w:sz w:val="20"/>
                <w:szCs w:val="20"/>
              </w:rPr>
              <w:t>ХНУ ім. В. Н. Каразіна (колишній ХДПУ)</w:t>
            </w:r>
          </w:p>
        </w:tc>
      </w:tr>
      <w:tr w:rsidR="006E6A36" w14:paraId="31ECB74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F2F0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0DB1FC" w14:textId="77777777" w:rsidR="006E6A36" w:rsidRDefault="00000000">
            <w:r>
              <w:rPr>
                <w:b/>
                <w:bCs/>
                <w:color w:val="1A1040"/>
                <w:sz w:val="20"/>
                <w:szCs w:val="20"/>
              </w:rPr>
              <w:t>Загальна оцінка ОПП (1–10)</w:t>
            </w:r>
          </w:p>
        </w:tc>
        <w:tc>
          <w:tcPr>
            <w:tcW w:w="3413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F2F0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71E524" w14:textId="77777777" w:rsidR="006E6A36" w:rsidRDefault="00000000">
            <w:r>
              <w:rPr>
                <w:sz w:val="20"/>
                <w:szCs w:val="20"/>
              </w:rPr>
              <w:t>8 / 10</w:t>
            </w:r>
          </w:p>
        </w:tc>
        <w:tc>
          <w:tcPr>
            <w:tcW w:w="3413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F2F0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7072B0" w14:textId="77777777" w:rsidR="006E6A36" w:rsidRDefault="00000000">
            <w:r>
              <w:rPr>
                <w:sz w:val="20"/>
                <w:szCs w:val="20"/>
              </w:rPr>
              <w:t>10 / 10</w:t>
            </w:r>
          </w:p>
        </w:tc>
      </w:tr>
    </w:tbl>
    <w:p w14:paraId="613F3957" w14:textId="77777777" w:rsidR="006E6A36" w:rsidRDefault="006E6A36">
      <w:pPr>
        <w:spacing w:before="100"/>
      </w:pPr>
    </w:p>
    <w:p w14:paraId="51879AB1" w14:textId="77777777" w:rsidR="006E6A36" w:rsidRDefault="00000000">
      <w:pPr>
        <w:spacing w:before="80" w:after="80"/>
        <w:jc w:val="both"/>
      </w:pPr>
      <w:r>
        <w:rPr>
          <w:b/>
          <w:bCs/>
          <w:color w:val="1A1040"/>
        </w:rPr>
        <w:t>Загальна оцінка якості підготовки</w:t>
      </w:r>
      <w:r>
        <w:t xml:space="preserve">: роботодавець 1 (IT) поставив </w:t>
      </w:r>
      <w:r>
        <w:rPr>
          <w:b/>
          <w:bCs/>
          <w:color w:val="1A1040"/>
        </w:rPr>
        <w:t>8 з 10</w:t>
      </w:r>
      <w:r>
        <w:t xml:space="preserve">, роботодавець 2 (освіта) — </w:t>
      </w:r>
      <w:r>
        <w:rPr>
          <w:b/>
          <w:bCs/>
          <w:color w:val="1A1040"/>
        </w:rPr>
        <w:t>10 з 10</w:t>
      </w:r>
      <w:r>
        <w:t>. Різниця між оцінками закономірна: представник IT-ринку, орієнтований на прикладні цифрові навички, дещо стриманіший в оцінці, ніж партнер з академічного середовища.</w:t>
      </w:r>
    </w:p>
    <w:p w14:paraId="5A465B34" w14:textId="77777777" w:rsidR="006E6A36" w:rsidRDefault="006E6A36">
      <w:pPr>
        <w:spacing w:before="120"/>
      </w:pPr>
    </w:p>
    <w:p w14:paraId="5825D11A" w14:textId="77777777" w:rsidR="006E6A36" w:rsidRDefault="00000000">
      <w:pPr>
        <w:pStyle w:val="1"/>
      </w:pPr>
      <w:r>
        <w:t>3. Залученість роботодавців до освітньої програми</w:t>
      </w:r>
    </w:p>
    <w:p w14:paraId="3DD3ABE9" w14:textId="77777777" w:rsidR="006E6A36" w:rsidRDefault="00000000">
      <w:pPr>
        <w:spacing w:before="80" w:after="80"/>
        <w:jc w:val="both"/>
      </w:pPr>
      <w:r>
        <w:t xml:space="preserve">Рівень залученості двох роботодавців до ОПП «Цифровий соціум» </w:t>
      </w:r>
      <w:r>
        <w:rPr>
          <w:b/>
          <w:bCs/>
          <w:color w:val="1A1040"/>
        </w:rPr>
        <w:t>принципово різниться</w:t>
      </w:r>
      <w:r>
        <w:t>.</w:t>
      </w:r>
    </w:p>
    <w:p w14:paraId="7C76DED6" w14:textId="77777777" w:rsidR="006E6A36" w:rsidRPr="00FB407F" w:rsidRDefault="00000000">
      <w:pPr>
        <w:spacing w:before="80" w:after="80"/>
        <w:jc w:val="both"/>
        <w:rPr>
          <w:color w:val="000000" w:themeColor="text1"/>
        </w:rPr>
      </w:pPr>
      <w:r>
        <w:rPr>
          <w:b/>
          <w:bCs/>
          <w:color w:val="1A1040"/>
        </w:rPr>
        <w:t>Роботодавець 1 (IT)</w:t>
      </w:r>
      <w:r>
        <w:t xml:space="preserve"> </w:t>
      </w:r>
      <w:r w:rsidRPr="00FB407F">
        <w:rPr>
          <w:color w:val="000000" w:themeColor="text1"/>
        </w:rPr>
        <w:t>не залучений жодним чином до реалізації програми. Він також зазначив, що не залучений до проєктування та вдосконалення ОПП. При цьому цілі програми та програмні результати навчання він оцінює як «скоріше незрозумілі» — це тривожний сигнал: представник саме того ринку праці, на який орієнтована програма, не розуміє її цілей. Це прямо вказує на потребу у кращій комунікації програми зовнішній аудиторії.</w:t>
      </w:r>
    </w:p>
    <w:p w14:paraId="774FA5BC" w14:textId="77777777" w:rsidR="006E6A36" w:rsidRDefault="00000000">
      <w:pPr>
        <w:spacing w:before="80" w:after="80"/>
        <w:jc w:val="both"/>
      </w:pPr>
      <w:r>
        <w:rPr>
          <w:b/>
          <w:bCs/>
          <w:color w:val="1A1040"/>
        </w:rPr>
        <w:t>Роботодавець 2</w:t>
      </w:r>
      <w:r>
        <w:t xml:space="preserve"> залучений суттєво ширше:</w:t>
      </w:r>
    </w:p>
    <w:p w14:paraId="45961003" w14:textId="77777777" w:rsidR="006E6A36" w:rsidRDefault="00000000">
      <w:pPr>
        <w:pStyle w:val="a4"/>
        <w:numPr>
          <w:ilvl w:val="0"/>
          <w:numId w:val="2"/>
        </w:numPr>
        <w:spacing w:before="40" w:after="40"/>
      </w:pPr>
      <w:r>
        <w:t>участь у проєктуванні та вдосконаленні освітньої програми</w:t>
      </w:r>
    </w:p>
    <w:p w14:paraId="28F12087" w14:textId="77777777" w:rsidR="006E6A36" w:rsidRDefault="00000000">
      <w:pPr>
        <w:pStyle w:val="a4"/>
        <w:numPr>
          <w:ilvl w:val="0"/>
          <w:numId w:val="2"/>
        </w:numPr>
        <w:spacing w:before="40" w:after="40"/>
      </w:pPr>
      <w:r>
        <w:t>надання рецензій / відгуків стосовно ОПП</w:t>
      </w:r>
    </w:p>
    <w:p w14:paraId="4579A1ED" w14:textId="77777777" w:rsidR="006E6A36" w:rsidRDefault="006E6A36">
      <w:pPr>
        <w:spacing w:before="60"/>
      </w:pPr>
    </w:p>
    <w:p w14:paraId="6645D47E" w14:textId="77777777" w:rsidR="006E6A36" w:rsidRDefault="00000000">
      <w:pPr>
        <w:spacing w:before="80" w:after="80"/>
        <w:jc w:val="both"/>
      </w:pPr>
      <w:r>
        <w:t xml:space="preserve">Його пропозиції щодо ОПП були </w:t>
      </w:r>
      <w:r>
        <w:rPr>
          <w:b/>
          <w:bCs/>
          <w:color w:val="1A1040"/>
        </w:rPr>
        <w:t>повністю враховані</w:t>
      </w:r>
      <w:r>
        <w:t xml:space="preserve">, а цілі програми — </w:t>
      </w:r>
      <w:r>
        <w:rPr>
          <w:b/>
          <w:bCs/>
          <w:color w:val="1A1040"/>
        </w:rPr>
        <w:t>повністю зрозумілі</w:t>
      </w:r>
      <w:r>
        <w:t>. Цей контраст між двома роботодавцями є ключовим спостереженням: залученість напряму корелює з розумінням і задоволеністю програмою.</w:t>
      </w:r>
    </w:p>
    <w:p w14:paraId="1FF5C5FC" w14:textId="77777777" w:rsidR="006E6A36" w:rsidRDefault="006E6A36">
      <w:pPr>
        <w:spacing w:before="120"/>
      </w:pPr>
    </w:p>
    <w:p w14:paraId="32B910B7" w14:textId="77777777" w:rsidR="006E6A36" w:rsidRDefault="00000000">
      <w:pPr>
        <w:pStyle w:val="1"/>
      </w:pPr>
      <w:r>
        <w:t>4. Оцінки освітньої програми (шкала згоди)</w:t>
      </w:r>
    </w:p>
    <w:p w14:paraId="00C310DB" w14:textId="77777777" w:rsidR="006E6A36" w:rsidRDefault="00000000">
      <w:pPr>
        <w:spacing w:before="80" w:after="80"/>
        <w:jc w:val="both"/>
      </w:pPr>
      <w:r>
        <w:t>Роботодавцям було запропоновано оцінити 8 тверджень щодо якості ОПП «Цифровий соціум». Відповіді наведено нижче.</w:t>
      </w:r>
    </w:p>
    <w:p w14:paraId="566A42E7" w14:textId="77777777" w:rsidR="006E6A36" w:rsidRDefault="006E6A36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6"/>
        <w:gridCol w:w="2200"/>
        <w:gridCol w:w="2200"/>
      </w:tblGrid>
      <w:tr w:rsidR="006E6A36" w14:paraId="17040C0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26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3B2D8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956B3D" w14:textId="77777777" w:rsidR="006E6A36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Твердження</w:t>
            </w:r>
          </w:p>
        </w:tc>
        <w:tc>
          <w:tcPr>
            <w:tcW w:w="2200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3B2D8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3FE7DE" w14:textId="77777777" w:rsidR="006E6A36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Роботодавець 1 (IT, приватний сектор)</w:t>
            </w:r>
          </w:p>
        </w:tc>
        <w:tc>
          <w:tcPr>
            <w:tcW w:w="2200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3B2D8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AEE7EB" w14:textId="77777777" w:rsidR="006E6A36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Роботодавець 2 (наука/освіта, держ. сектор)</w:t>
            </w:r>
          </w:p>
        </w:tc>
      </w:tr>
      <w:tr w:rsidR="006E6A36" w14:paraId="2D6073B8" w14:textId="77777777">
        <w:tblPrEx>
          <w:tblCellMar>
            <w:top w:w="0" w:type="dxa"/>
            <w:bottom w:w="0" w:type="dxa"/>
          </w:tblCellMar>
        </w:tblPrEx>
        <w:tc>
          <w:tcPr>
            <w:tcW w:w="4626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F2F0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4DFA01" w14:textId="77777777" w:rsidR="006E6A36" w:rsidRDefault="00000000">
            <w:r>
              <w:rPr>
                <w:sz w:val="20"/>
                <w:szCs w:val="20"/>
              </w:rPr>
              <w:t>Освітня програма враховує сучасні тенденції розвитку спеціальності</w:t>
            </w:r>
          </w:p>
        </w:tc>
        <w:tc>
          <w:tcPr>
            <w:tcW w:w="2200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F2F0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7CB833" w14:textId="77777777" w:rsidR="006E6A36" w:rsidRDefault="00000000">
            <w:pPr>
              <w:jc w:val="center"/>
            </w:pPr>
            <w:r>
              <w:rPr>
                <w:color w:val="3B2D8F"/>
                <w:sz w:val="20"/>
                <w:szCs w:val="20"/>
              </w:rPr>
              <w:t>Скоріше згодні</w:t>
            </w:r>
          </w:p>
        </w:tc>
        <w:tc>
          <w:tcPr>
            <w:tcW w:w="2200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F2F0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B37371" w14:textId="77777777" w:rsidR="006E6A36" w:rsidRPr="00FB407F" w:rsidRDefault="00000000">
            <w:pPr>
              <w:jc w:val="center"/>
            </w:pPr>
            <w:r w:rsidRPr="00FB407F">
              <w:rPr>
                <w:color w:val="000000" w:themeColor="text1"/>
                <w:sz w:val="20"/>
                <w:szCs w:val="20"/>
              </w:rPr>
              <w:t>Повністю згодні</w:t>
            </w:r>
          </w:p>
        </w:tc>
      </w:tr>
      <w:tr w:rsidR="006E6A36" w14:paraId="18523119" w14:textId="77777777">
        <w:tblPrEx>
          <w:tblCellMar>
            <w:top w:w="0" w:type="dxa"/>
            <w:bottom w:w="0" w:type="dxa"/>
          </w:tblCellMar>
        </w:tblPrEx>
        <w:tc>
          <w:tcPr>
            <w:tcW w:w="4626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442020" w14:textId="77777777" w:rsidR="006E6A36" w:rsidRDefault="00000000">
            <w:r>
              <w:rPr>
                <w:sz w:val="20"/>
                <w:szCs w:val="20"/>
              </w:rPr>
              <w:t>Освітня програма враховує потреби ринку праці</w:t>
            </w:r>
          </w:p>
        </w:tc>
        <w:tc>
          <w:tcPr>
            <w:tcW w:w="2200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915401" w14:textId="77777777" w:rsidR="006E6A36" w:rsidRPr="00FB407F" w:rsidRDefault="00000000">
            <w:pPr>
              <w:jc w:val="center"/>
              <w:rPr>
                <w:color w:val="000000" w:themeColor="text1"/>
              </w:rPr>
            </w:pPr>
            <w:r w:rsidRPr="00FB407F">
              <w:rPr>
                <w:color w:val="000000" w:themeColor="text1"/>
                <w:sz w:val="20"/>
                <w:szCs w:val="20"/>
              </w:rPr>
              <w:t>У чомусь згодні, у чомусь ні</w:t>
            </w:r>
          </w:p>
        </w:tc>
        <w:tc>
          <w:tcPr>
            <w:tcW w:w="2200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505ED1" w14:textId="77777777" w:rsidR="006E6A36" w:rsidRDefault="00000000">
            <w:pPr>
              <w:jc w:val="center"/>
            </w:pPr>
            <w:r>
              <w:rPr>
                <w:color w:val="3B2D8F"/>
                <w:sz w:val="20"/>
                <w:szCs w:val="20"/>
              </w:rPr>
              <w:t>Скоріше згодні</w:t>
            </w:r>
          </w:p>
        </w:tc>
      </w:tr>
      <w:tr w:rsidR="006E6A36" w14:paraId="4B001ED5" w14:textId="77777777">
        <w:tblPrEx>
          <w:tblCellMar>
            <w:top w:w="0" w:type="dxa"/>
            <w:bottom w:w="0" w:type="dxa"/>
          </w:tblCellMar>
        </w:tblPrEx>
        <w:tc>
          <w:tcPr>
            <w:tcW w:w="4626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F2F0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325643" w14:textId="77777777" w:rsidR="006E6A36" w:rsidRDefault="00000000">
            <w:r>
              <w:rPr>
                <w:sz w:val="20"/>
                <w:szCs w:val="20"/>
              </w:rPr>
              <w:t>Освітня програма враховує інтереси та пропозиції роботодавців</w:t>
            </w:r>
          </w:p>
        </w:tc>
        <w:tc>
          <w:tcPr>
            <w:tcW w:w="2200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F2F0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241B70" w14:textId="77777777" w:rsidR="006E6A36" w:rsidRPr="00FB407F" w:rsidRDefault="00000000">
            <w:pPr>
              <w:jc w:val="center"/>
              <w:rPr>
                <w:color w:val="000000" w:themeColor="text1"/>
              </w:rPr>
            </w:pPr>
            <w:r w:rsidRPr="00FB407F">
              <w:rPr>
                <w:color w:val="000000" w:themeColor="text1"/>
                <w:sz w:val="20"/>
                <w:szCs w:val="20"/>
              </w:rPr>
              <w:t>У чомусь згодні, у чомусь ні</w:t>
            </w:r>
          </w:p>
        </w:tc>
        <w:tc>
          <w:tcPr>
            <w:tcW w:w="2200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F2F0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3D5C06" w14:textId="77777777" w:rsidR="006E6A36" w:rsidRDefault="00000000">
            <w:pPr>
              <w:jc w:val="center"/>
            </w:pPr>
            <w:r>
              <w:rPr>
                <w:color w:val="3B2D8F"/>
                <w:sz w:val="20"/>
                <w:szCs w:val="20"/>
              </w:rPr>
              <w:t>Скоріше згодні</w:t>
            </w:r>
          </w:p>
        </w:tc>
      </w:tr>
      <w:tr w:rsidR="006E6A36" w14:paraId="59BA30D6" w14:textId="77777777">
        <w:tblPrEx>
          <w:tblCellMar>
            <w:top w:w="0" w:type="dxa"/>
            <w:bottom w:w="0" w:type="dxa"/>
          </w:tblCellMar>
        </w:tblPrEx>
        <w:tc>
          <w:tcPr>
            <w:tcW w:w="4626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ABA440" w14:textId="77777777" w:rsidR="006E6A36" w:rsidRDefault="00000000">
            <w:r>
              <w:rPr>
                <w:sz w:val="20"/>
                <w:szCs w:val="20"/>
              </w:rPr>
              <w:lastRenderedPageBreak/>
              <w:t>Навчання дозволяє здобути компетентності для проф. діяльності</w:t>
            </w:r>
          </w:p>
        </w:tc>
        <w:tc>
          <w:tcPr>
            <w:tcW w:w="2200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C9010A" w14:textId="77777777" w:rsidR="006E6A36" w:rsidRPr="00FB407F" w:rsidRDefault="00000000">
            <w:pPr>
              <w:jc w:val="center"/>
              <w:rPr>
                <w:color w:val="000000" w:themeColor="text1"/>
              </w:rPr>
            </w:pPr>
            <w:r w:rsidRPr="00FB407F">
              <w:rPr>
                <w:color w:val="000000" w:themeColor="text1"/>
                <w:sz w:val="20"/>
                <w:szCs w:val="20"/>
              </w:rPr>
              <w:t>У чомусь згодні, у чомусь ні</w:t>
            </w:r>
          </w:p>
        </w:tc>
        <w:tc>
          <w:tcPr>
            <w:tcW w:w="2200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39DC03" w14:textId="77777777" w:rsidR="006E6A36" w:rsidRPr="00FB407F" w:rsidRDefault="00000000">
            <w:pPr>
              <w:jc w:val="center"/>
              <w:rPr>
                <w:color w:val="000000" w:themeColor="text1"/>
              </w:rPr>
            </w:pPr>
            <w:r w:rsidRPr="00FB407F">
              <w:rPr>
                <w:color w:val="000000" w:themeColor="text1"/>
                <w:sz w:val="20"/>
                <w:szCs w:val="20"/>
              </w:rPr>
              <w:t>Повністю згодні</w:t>
            </w:r>
          </w:p>
        </w:tc>
      </w:tr>
      <w:tr w:rsidR="006E6A36" w14:paraId="6729AF26" w14:textId="77777777">
        <w:tblPrEx>
          <w:tblCellMar>
            <w:top w:w="0" w:type="dxa"/>
            <w:bottom w:w="0" w:type="dxa"/>
          </w:tblCellMar>
        </w:tblPrEx>
        <w:tc>
          <w:tcPr>
            <w:tcW w:w="4626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F2F0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F06219" w14:textId="77777777" w:rsidR="006E6A36" w:rsidRDefault="00000000">
            <w:r>
              <w:rPr>
                <w:sz w:val="20"/>
                <w:szCs w:val="20"/>
              </w:rPr>
              <w:t>Програма дозволяє сформувати необхідні soft skills</w:t>
            </w:r>
          </w:p>
        </w:tc>
        <w:tc>
          <w:tcPr>
            <w:tcW w:w="2200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F2F0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F0498C" w14:textId="77777777" w:rsidR="006E6A36" w:rsidRDefault="00000000">
            <w:pPr>
              <w:jc w:val="center"/>
            </w:pPr>
            <w:r>
              <w:rPr>
                <w:color w:val="3B2D8F"/>
                <w:sz w:val="20"/>
                <w:szCs w:val="20"/>
              </w:rPr>
              <w:t>Скоріше згодні</w:t>
            </w:r>
          </w:p>
        </w:tc>
        <w:tc>
          <w:tcPr>
            <w:tcW w:w="2200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F2F0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42725A" w14:textId="77777777" w:rsidR="006E6A36" w:rsidRPr="00FB407F" w:rsidRDefault="00000000">
            <w:pPr>
              <w:jc w:val="center"/>
              <w:rPr>
                <w:color w:val="000000" w:themeColor="text1"/>
              </w:rPr>
            </w:pPr>
            <w:r w:rsidRPr="00FB407F">
              <w:rPr>
                <w:color w:val="000000" w:themeColor="text1"/>
                <w:sz w:val="20"/>
                <w:szCs w:val="20"/>
              </w:rPr>
              <w:t>Повністю згодні</w:t>
            </w:r>
          </w:p>
        </w:tc>
      </w:tr>
      <w:tr w:rsidR="006E6A36" w14:paraId="51BE6FF0" w14:textId="77777777">
        <w:tblPrEx>
          <w:tblCellMar>
            <w:top w:w="0" w:type="dxa"/>
            <w:bottom w:w="0" w:type="dxa"/>
          </w:tblCellMar>
        </w:tblPrEx>
        <w:tc>
          <w:tcPr>
            <w:tcW w:w="4626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313772" w14:textId="77777777" w:rsidR="006E6A36" w:rsidRDefault="00000000">
            <w:r>
              <w:rPr>
                <w:sz w:val="20"/>
                <w:szCs w:val="20"/>
              </w:rPr>
              <w:t>Форми та методи навчання відповідають студентоцентрованому підходу</w:t>
            </w:r>
          </w:p>
        </w:tc>
        <w:tc>
          <w:tcPr>
            <w:tcW w:w="2200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28E6CF" w14:textId="77777777" w:rsidR="006E6A36" w:rsidRDefault="00000000">
            <w:pPr>
              <w:jc w:val="center"/>
            </w:pPr>
            <w:r>
              <w:rPr>
                <w:color w:val="3B2D8F"/>
                <w:sz w:val="20"/>
                <w:szCs w:val="20"/>
              </w:rPr>
              <w:t>Скоріше згодні</w:t>
            </w:r>
          </w:p>
        </w:tc>
        <w:tc>
          <w:tcPr>
            <w:tcW w:w="2200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2B573D" w14:textId="77777777" w:rsidR="006E6A36" w:rsidRPr="00FB407F" w:rsidRDefault="00000000">
            <w:pPr>
              <w:jc w:val="center"/>
              <w:rPr>
                <w:color w:val="000000" w:themeColor="text1"/>
              </w:rPr>
            </w:pPr>
            <w:r w:rsidRPr="00FB407F">
              <w:rPr>
                <w:color w:val="000000" w:themeColor="text1"/>
                <w:sz w:val="20"/>
                <w:szCs w:val="20"/>
              </w:rPr>
              <w:t>Скоріше згодні</w:t>
            </w:r>
          </w:p>
        </w:tc>
      </w:tr>
      <w:tr w:rsidR="006E6A36" w14:paraId="7C31317C" w14:textId="77777777">
        <w:tblPrEx>
          <w:tblCellMar>
            <w:top w:w="0" w:type="dxa"/>
            <w:bottom w:w="0" w:type="dxa"/>
          </w:tblCellMar>
        </w:tblPrEx>
        <w:tc>
          <w:tcPr>
            <w:tcW w:w="4626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F2F0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D92D8C" w14:textId="77777777" w:rsidR="006E6A36" w:rsidRDefault="00000000">
            <w:r>
              <w:rPr>
                <w:sz w:val="20"/>
                <w:szCs w:val="20"/>
              </w:rPr>
              <w:t>Умови навчання є безпечними для життя та здоров'я студентів</w:t>
            </w:r>
          </w:p>
        </w:tc>
        <w:tc>
          <w:tcPr>
            <w:tcW w:w="2200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F2F0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B501CA" w14:textId="77777777" w:rsidR="006E6A36" w:rsidRPr="00FB407F" w:rsidRDefault="00000000">
            <w:pPr>
              <w:jc w:val="center"/>
            </w:pPr>
            <w:r w:rsidRPr="00FB407F">
              <w:rPr>
                <w:color w:val="000000" w:themeColor="text1"/>
                <w:sz w:val="20"/>
                <w:szCs w:val="20"/>
              </w:rPr>
              <w:t>Повністю згодні</w:t>
            </w:r>
          </w:p>
        </w:tc>
        <w:tc>
          <w:tcPr>
            <w:tcW w:w="2200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F2F0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12897B" w14:textId="77777777" w:rsidR="006E6A36" w:rsidRPr="00FB407F" w:rsidRDefault="00000000">
            <w:pPr>
              <w:jc w:val="center"/>
              <w:rPr>
                <w:color w:val="000000" w:themeColor="text1"/>
              </w:rPr>
            </w:pPr>
            <w:r w:rsidRPr="00FB407F">
              <w:rPr>
                <w:color w:val="000000" w:themeColor="text1"/>
                <w:sz w:val="20"/>
                <w:szCs w:val="20"/>
              </w:rPr>
              <w:t>Повністю згодні</w:t>
            </w:r>
          </w:p>
        </w:tc>
      </w:tr>
      <w:tr w:rsidR="006E6A36" w14:paraId="32251437" w14:textId="77777777">
        <w:tblPrEx>
          <w:tblCellMar>
            <w:top w:w="0" w:type="dxa"/>
            <w:bottom w:w="0" w:type="dxa"/>
          </w:tblCellMar>
        </w:tblPrEx>
        <w:tc>
          <w:tcPr>
            <w:tcW w:w="4626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446147" w14:textId="77777777" w:rsidR="006E6A36" w:rsidRDefault="00000000">
            <w:r>
              <w:rPr>
                <w:sz w:val="20"/>
                <w:szCs w:val="20"/>
              </w:rPr>
              <w:t>Навчання має необхідне матеріально-технічне забезпечення</w:t>
            </w:r>
          </w:p>
        </w:tc>
        <w:tc>
          <w:tcPr>
            <w:tcW w:w="2200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54A49B" w14:textId="77777777" w:rsidR="006E6A36" w:rsidRDefault="00000000">
            <w:pPr>
              <w:jc w:val="center"/>
            </w:pPr>
            <w:r>
              <w:rPr>
                <w:color w:val="3B2D8F"/>
                <w:sz w:val="20"/>
                <w:szCs w:val="20"/>
              </w:rPr>
              <w:t>Скоріше згодні</w:t>
            </w:r>
          </w:p>
        </w:tc>
        <w:tc>
          <w:tcPr>
            <w:tcW w:w="2200" w:type="dxa"/>
            <w:tcBorders>
              <w:top w:val="single" w:sz="1" w:space="0" w:color="C5C0E0"/>
              <w:left w:val="single" w:sz="1" w:space="0" w:color="C5C0E0"/>
              <w:bottom w:val="single" w:sz="1" w:space="0" w:color="C5C0E0"/>
              <w:right w:val="single" w:sz="1" w:space="0" w:color="C5C0E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3B908C" w14:textId="77777777" w:rsidR="006E6A36" w:rsidRPr="00FB407F" w:rsidRDefault="00000000">
            <w:pPr>
              <w:jc w:val="center"/>
              <w:rPr>
                <w:color w:val="000000" w:themeColor="text1"/>
              </w:rPr>
            </w:pPr>
            <w:r w:rsidRPr="00FB407F">
              <w:rPr>
                <w:color w:val="000000" w:themeColor="text1"/>
                <w:sz w:val="20"/>
                <w:szCs w:val="20"/>
              </w:rPr>
              <w:t>Повністю згодні</w:t>
            </w:r>
          </w:p>
        </w:tc>
      </w:tr>
    </w:tbl>
    <w:p w14:paraId="53855526" w14:textId="77777777" w:rsidR="006E6A36" w:rsidRDefault="006E6A36">
      <w:pPr>
        <w:spacing w:before="120"/>
      </w:pPr>
    </w:p>
    <w:p w14:paraId="3D208479" w14:textId="77777777" w:rsidR="006E6A36" w:rsidRDefault="00000000">
      <w:pPr>
        <w:spacing w:before="80" w:after="80"/>
        <w:jc w:val="both"/>
      </w:pPr>
      <w:r>
        <w:t>Коментар до таблиці:</w:t>
      </w:r>
    </w:p>
    <w:p w14:paraId="2386DE7D" w14:textId="77777777" w:rsidR="006E6A36" w:rsidRDefault="00000000">
      <w:pPr>
        <w:spacing w:before="80" w:after="80"/>
        <w:jc w:val="both"/>
      </w:pPr>
      <w:r>
        <w:rPr>
          <w:b/>
          <w:bCs/>
          <w:color w:val="1A1040"/>
        </w:rPr>
        <w:t>Єдиний консенсус — безпечні умови навчання</w:t>
      </w:r>
      <w:r>
        <w:t>: обидва роботодавці «повністю згодні». Це єдина позиція, де думки повністю збігаються в найвищому ступені.</w:t>
      </w:r>
    </w:p>
    <w:p w14:paraId="081234A9" w14:textId="77777777" w:rsidR="006E6A36" w:rsidRDefault="00000000">
      <w:pPr>
        <w:spacing w:before="80" w:after="80"/>
        <w:jc w:val="both"/>
      </w:pPr>
      <w:r>
        <w:rPr>
          <w:b/>
          <w:bCs/>
          <w:color w:val="1A1040"/>
        </w:rPr>
        <w:t>Відмінності відображають різний контекст</w:t>
      </w:r>
      <w:r>
        <w:t xml:space="preserve">: роботодавець 2 (освіта, залучений до ОПП) дає вищі оцінки за більшістю тверджень. Роботодавець 1 (IT, незалучений) — суттєво стриманіший, і три твердження отримали від нього відповідь </w:t>
      </w:r>
      <w:r w:rsidRPr="00FB407F">
        <w:rPr>
          <w:color w:val="000000" w:themeColor="text1"/>
        </w:rPr>
        <w:t xml:space="preserve">«у чомусь згодні, у чомусь ні»: </w:t>
      </w:r>
      <w:r>
        <w:t>відповідність потребам ринку праці, врахування інтересів роботодавців та компетентності для профдіяльності.</w:t>
      </w:r>
    </w:p>
    <w:p w14:paraId="3D7AE34E" w14:textId="77777777" w:rsidR="006E6A36" w:rsidRDefault="00000000">
      <w:pPr>
        <w:spacing w:before="80" w:after="80"/>
        <w:jc w:val="both"/>
      </w:pPr>
      <w:r>
        <w:rPr>
          <w:b/>
          <w:bCs/>
          <w:color w:val="1A1040"/>
        </w:rPr>
        <w:t>«Змішані» відповіді IT-роботодавця</w:t>
      </w:r>
      <w:r>
        <w:t xml:space="preserve"> є найбільш інформативними: саме ці аспекти — зв'язок з ринком праці, орієнтація на реальні потреби роботодавців, практичні компетентності — є зонами, де програма «Цифровий соціум», на думку практика з IT-галузі, ще </w:t>
      </w:r>
      <w:r>
        <w:rPr>
          <w:b/>
          <w:bCs/>
          <w:color w:val="1A1040"/>
        </w:rPr>
        <w:t>не повністю відповідає очікуванням</w:t>
      </w:r>
      <w:r>
        <w:t>.</w:t>
      </w:r>
    </w:p>
    <w:p w14:paraId="2E6EEBBF" w14:textId="77777777" w:rsidR="006E6A36" w:rsidRDefault="006E6A36">
      <w:pPr>
        <w:spacing w:before="120"/>
      </w:pPr>
    </w:p>
    <w:p w14:paraId="7056D201" w14:textId="77777777" w:rsidR="006E6A36" w:rsidRDefault="00000000">
      <w:pPr>
        <w:pStyle w:val="1"/>
      </w:pPr>
      <w:r>
        <w:t>5. Практична підготовка та залученість роботодавців</w:t>
      </w:r>
    </w:p>
    <w:p w14:paraId="4DC3657A" w14:textId="77777777" w:rsidR="006E6A36" w:rsidRDefault="00000000">
      <w:pPr>
        <w:pStyle w:val="2"/>
      </w:pPr>
      <w:r>
        <w:t>5.1. Рівень практичної підготовки студентів</w:t>
      </w:r>
    </w:p>
    <w:p w14:paraId="5C18CF90" w14:textId="77777777" w:rsidR="006E6A36" w:rsidRDefault="00000000">
      <w:pPr>
        <w:spacing w:before="80" w:after="80"/>
        <w:jc w:val="both"/>
      </w:pPr>
      <w:r>
        <w:rPr>
          <w:b/>
          <w:bCs/>
          <w:color w:val="1A1040"/>
        </w:rPr>
        <w:t>Обидва роботодавці</w:t>
      </w:r>
      <w:r>
        <w:t xml:space="preserve"> оцінили рівень практичної підготовки як </w:t>
      </w:r>
      <w:r>
        <w:rPr>
          <w:b/>
          <w:bCs/>
          <w:color w:val="1A1040"/>
        </w:rPr>
        <w:t>«у чомусь влаштовує, у чомусь не влаштовує»</w:t>
      </w:r>
      <w:r>
        <w:t xml:space="preserve"> — це узгоджена стримана оцінка, яка вказує на </w:t>
      </w:r>
      <w:r>
        <w:rPr>
          <w:b/>
          <w:bCs/>
          <w:color w:val="1A1040"/>
        </w:rPr>
        <w:t>суттєву зону для вдосконалення</w:t>
      </w:r>
      <w:r>
        <w:t>.</w:t>
      </w:r>
    </w:p>
    <w:p w14:paraId="3EDFA3C6" w14:textId="77777777" w:rsidR="006E6A36" w:rsidRDefault="00000000">
      <w:pPr>
        <w:spacing w:before="80" w:after="80"/>
        <w:jc w:val="both"/>
      </w:pPr>
      <w:r>
        <w:rPr>
          <w:b/>
          <w:bCs/>
          <w:color w:val="1A1040"/>
        </w:rPr>
        <w:t>Роботодавець 1 (IT)</w:t>
      </w:r>
      <w:r>
        <w:t xml:space="preserve"> висловив розгорнуту критику та конкретні пропозиції: студенти мають розуміти, </w:t>
      </w:r>
      <w:r>
        <w:rPr>
          <w:b/>
          <w:bCs/>
          <w:color w:val="1A1040"/>
        </w:rPr>
        <w:t>в яку сферу вони прагнуть</w:t>
      </w:r>
      <w:r>
        <w:t xml:space="preserve">; потрібна підготовка до реального ринку праці — написання </w:t>
      </w:r>
      <w:r>
        <w:rPr>
          <w:b/>
          <w:bCs/>
          <w:color w:val="1A1040"/>
        </w:rPr>
        <w:t>резюме та портфоліо</w:t>
      </w:r>
      <w:r>
        <w:t xml:space="preserve">, інформація про пошук контактів і роботодавців, розуміння мінімально необхідних навичок у конкретній галузі. Також окремо наголошено на важливості </w:t>
      </w:r>
      <w:r>
        <w:rPr>
          <w:b/>
          <w:bCs/>
          <w:color w:val="1A1040"/>
        </w:rPr>
        <w:t>ділової англійської мови</w:t>
      </w:r>
      <w:r>
        <w:t>.</w:t>
      </w:r>
    </w:p>
    <w:p w14:paraId="249AC251" w14:textId="77777777" w:rsidR="006E6A36" w:rsidRDefault="00000000">
      <w:pPr>
        <w:spacing w:before="80" w:after="80"/>
        <w:jc w:val="both"/>
      </w:pPr>
      <w:r>
        <w:t>Роботодавець 2 не надав розгорнутого коментаря щодо покращення практичної підготовки.</w:t>
      </w:r>
    </w:p>
    <w:p w14:paraId="601D59AB" w14:textId="77777777" w:rsidR="006E6A36" w:rsidRDefault="00000000">
      <w:pPr>
        <w:pStyle w:val="2"/>
      </w:pPr>
      <w:r>
        <w:t>5.2. Ступінь залученості роботодавців до освітнього процесу</w:t>
      </w:r>
    </w:p>
    <w:p w14:paraId="6105D075" w14:textId="77777777" w:rsidR="006E6A36" w:rsidRDefault="00000000">
      <w:pPr>
        <w:spacing w:before="80" w:after="80"/>
        <w:jc w:val="both"/>
      </w:pPr>
      <w:r>
        <w:rPr>
          <w:b/>
          <w:bCs/>
          <w:color w:val="1A1040"/>
        </w:rPr>
        <w:t>Роботодавець 1 (IT)</w:t>
      </w:r>
      <w:r>
        <w:t xml:space="preserve"> оцінює залученість як </w:t>
      </w:r>
      <w:r>
        <w:rPr>
          <w:b/>
          <w:bCs/>
          <w:color w:val="1A1040"/>
        </w:rPr>
        <w:t>«у чомусь влаштовує, у чомусь не влаштовує»</w:t>
      </w:r>
      <w:r>
        <w:t xml:space="preserve"> і пропонує </w:t>
      </w:r>
      <w:r>
        <w:rPr>
          <w:b/>
          <w:bCs/>
          <w:color w:val="1A1040"/>
        </w:rPr>
        <w:t>налаштовувати студентів на особливості ринку праці</w:t>
      </w:r>
      <w:r>
        <w:t>, надавати практичну інформацію про пошук роботи та очікування роботодавців.</w:t>
      </w:r>
    </w:p>
    <w:p w14:paraId="371B0274" w14:textId="77777777" w:rsidR="006E6A36" w:rsidRDefault="00000000">
      <w:pPr>
        <w:spacing w:before="80" w:after="80"/>
        <w:jc w:val="both"/>
      </w:pPr>
      <w:r>
        <w:rPr>
          <w:b/>
          <w:bCs/>
          <w:color w:val="1A1040"/>
        </w:rPr>
        <w:lastRenderedPageBreak/>
        <w:t>Роботодавець 2</w:t>
      </w:r>
      <w:r>
        <w:t xml:space="preserve"> відповів «важко відповісти / не маю належної інформації» — що логічно, оскільки його залученість фокусується на проєктуванні ОПП, а не на організації навчального процесу в цілому.</w:t>
      </w:r>
    </w:p>
    <w:p w14:paraId="2239EFD6" w14:textId="77777777" w:rsidR="006E6A36" w:rsidRDefault="006E6A36">
      <w:pPr>
        <w:spacing w:before="120"/>
      </w:pPr>
    </w:p>
    <w:p w14:paraId="23B2BA76" w14:textId="77777777" w:rsidR="006E6A36" w:rsidRDefault="00000000">
      <w:pPr>
        <w:pStyle w:val="1"/>
      </w:pPr>
      <w:r>
        <w:t>6. Недоліки та пропозиції щодо вдосконалення</w:t>
      </w:r>
    </w:p>
    <w:p w14:paraId="1AA812EB" w14:textId="77777777" w:rsidR="006E6A36" w:rsidRDefault="00000000">
      <w:pPr>
        <w:spacing w:before="80" w:after="80"/>
        <w:jc w:val="both"/>
      </w:pPr>
      <w:r>
        <w:rPr>
          <w:b/>
          <w:bCs/>
          <w:color w:val="1A1040"/>
        </w:rPr>
        <w:t>Обидва роботодавці зафіксували наявність недоліків</w:t>
      </w:r>
      <w:r>
        <w:t xml:space="preserve"> в ОПП — це відрізняє опитування по ЦС від ССК, де один із роботодавців не вказав жодних проблем.</w:t>
      </w:r>
    </w:p>
    <w:p w14:paraId="3CEA70E0" w14:textId="77777777" w:rsidR="006E6A36" w:rsidRDefault="00000000">
      <w:pPr>
        <w:spacing w:before="80" w:after="80"/>
        <w:jc w:val="both"/>
      </w:pPr>
      <w:r>
        <w:rPr>
          <w:b/>
          <w:bCs/>
          <w:color w:val="1A1040"/>
        </w:rPr>
        <w:t>Роботодавець 1 (IT)</w:t>
      </w:r>
      <w:r>
        <w:t xml:space="preserve"> вказав на потребу в </w:t>
      </w:r>
      <w:r>
        <w:rPr>
          <w:b/>
          <w:bCs/>
          <w:color w:val="1A1040"/>
        </w:rPr>
        <w:t>«впевненій цифровій освіті»</w:t>
      </w:r>
      <w:r>
        <w:t xml:space="preserve"> для кожного потенційного працівника, а також — окремо і наполегливо — на важливості </w:t>
      </w:r>
      <w:r>
        <w:rPr>
          <w:b/>
          <w:bCs/>
          <w:color w:val="1A1040"/>
        </w:rPr>
        <w:t>англійської мови</w:t>
      </w:r>
      <w:r>
        <w:t>. Крім того: студенти мають знати, в яку сферу вони йдуть, які навички потрібні, вміти писати резюме, шукати роботодавців і розуміти логіку ринку праці.</w:t>
      </w:r>
    </w:p>
    <w:p w14:paraId="08F9215D" w14:textId="77777777" w:rsidR="006E6A36" w:rsidRDefault="00000000">
      <w:pPr>
        <w:spacing w:before="80" w:after="80"/>
        <w:jc w:val="both"/>
      </w:pPr>
      <w:r>
        <w:rPr>
          <w:b/>
          <w:bCs/>
          <w:color w:val="1A1040"/>
        </w:rPr>
        <w:t>Роботодавець 2</w:t>
      </w:r>
      <w:r>
        <w:t xml:space="preserve"> висловив конкретну пропозицію щодо змісту ОПП: до загальних компетентностей університетського рівня </w:t>
      </w:r>
      <w:r>
        <w:rPr>
          <w:b/>
          <w:bCs/>
          <w:color w:val="1A1040"/>
        </w:rPr>
        <w:t>додати «здатність використовувати критичне мислення і інформаційну гігієну при виконанні робіт, пов'язаних з професійною діяльністю в міжнародному інформаційному просторі»</w:t>
      </w:r>
      <w:r>
        <w:t>. Це специфічна, добре сформульована пропозиція, яка відображає актуальні виклики цифрового середовища.</w:t>
      </w:r>
    </w:p>
    <w:p w14:paraId="5881940C" w14:textId="77777777" w:rsidR="006E6A36" w:rsidRDefault="00000000">
      <w:pPr>
        <w:spacing w:before="80" w:after="80"/>
        <w:jc w:val="both"/>
      </w:pPr>
      <w:r>
        <w:t xml:space="preserve">Обидві пропозиції є тематично пов'язаними: </w:t>
      </w:r>
      <w:r>
        <w:rPr>
          <w:b/>
          <w:bCs/>
          <w:color w:val="1A1040"/>
        </w:rPr>
        <w:t>цифрова грамотність, критичне мислення, англійська мова та орієнтація на ринок праці</w:t>
      </w:r>
      <w:r>
        <w:t xml:space="preserve"> — це наскрізні теми, які підсилюють одна одну і формують чіткий запит із боку роботодавців.</w:t>
      </w:r>
    </w:p>
    <w:p w14:paraId="7E197117" w14:textId="77777777" w:rsidR="006E6A36" w:rsidRDefault="006E6A36">
      <w:pPr>
        <w:spacing w:before="120"/>
      </w:pPr>
    </w:p>
    <w:p w14:paraId="31146C4D" w14:textId="77777777" w:rsidR="006E6A36" w:rsidRDefault="00000000">
      <w:pPr>
        <w:pStyle w:val="1"/>
      </w:pPr>
      <w:r>
        <w:t>7. Основні висновки</w:t>
      </w:r>
    </w:p>
    <w:p w14:paraId="778BA3DB" w14:textId="77777777" w:rsidR="006E6A36" w:rsidRDefault="00000000">
      <w:pPr>
        <w:spacing w:before="80" w:after="80"/>
        <w:jc w:val="both"/>
      </w:pPr>
      <w:r>
        <w:rPr>
          <w:b/>
          <w:bCs/>
          <w:color w:val="1A1040"/>
        </w:rPr>
        <w:t xml:space="preserve">7.1. Оцінки — хороші, але стриманіші, ніж у ССК. </w:t>
      </w:r>
      <w:r>
        <w:t xml:space="preserve">8 і 10 балів з 10. Представник IT-сфери (основний цільовий ринок праці для ЦС) дає нижчу оцінку, ніж академічний партнер. Це важливий сигнал: програма, орієнтована на цифровий ринок, ще </w:t>
      </w:r>
      <w:r>
        <w:rPr>
          <w:b/>
          <w:bCs/>
          <w:color w:val="1A1040"/>
        </w:rPr>
        <w:t>не повністю відповідає очікуванням IT-роботодавця</w:t>
      </w:r>
      <w:r>
        <w:t>.</w:t>
      </w:r>
    </w:p>
    <w:p w14:paraId="4319F940" w14:textId="77777777" w:rsidR="006E6A36" w:rsidRDefault="00000000">
      <w:pPr>
        <w:spacing w:before="80" w:after="80"/>
        <w:jc w:val="both"/>
      </w:pPr>
      <w:r>
        <w:rPr>
          <w:b/>
          <w:bCs/>
          <w:color w:val="1A1040"/>
        </w:rPr>
        <w:t xml:space="preserve">7.2. Критичний розрив — відсутність залученості IT-роботодавця. </w:t>
      </w:r>
      <w:r>
        <w:t>Представник IT-сфери не залучений до програми жодним чином і не розуміє її цілей. Це системна проблема: без активного зворотного зв'язку від реального ринку праці важко забезпечити актуальність цифрової програми.</w:t>
      </w:r>
    </w:p>
    <w:p w14:paraId="567BED48" w14:textId="77777777" w:rsidR="006E6A36" w:rsidRDefault="00000000">
      <w:pPr>
        <w:spacing w:before="80" w:after="80"/>
        <w:jc w:val="both"/>
      </w:pPr>
      <w:r>
        <w:rPr>
          <w:b/>
          <w:bCs/>
          <w:color w:val="1A1040"/>
        </w:rPr>
        <w:t xml:space="preserve">7.3. Практична підготовка — спільна зона занепокоєння. </w:t>
      </w:r>
      <w:r>
        <w:t>Обидва роботодавці дали стриману оцінку практичній підготовці. IT-роботодавець детально описав прогалини: резюме, портфоліо, ділова англійська, розуміння ринку праці, мінімальні галузеві навички.</w:t>
      </w:r>
    </w:p>
    <w:p w14:paraId="6B4AC59C" w14:textId="77777777" w:rsidR="006E6A36" w:rsidRDefault="00000000">
      <w:pPr>
        <w:spacing w:before="80" w:after="80"/>
        <w:jc w:val="both"/>
      </w:pPr>
      <w:r>
        <w:rPr>
          <w:b/>
          <w:bCs/>
          <w:color w:val="1A1040"/>
        </w:rPr>
        <w:t xml:space="preserve">7.4. Три «змішані» оцінки від IT-практика — пріоритети для розвитку. </w:t>
      </w:r>
      <w:r>
        <w:t>Відповідність потребам ринку, врахування інтересів роботодавців та практичні компетентності — саме ці три аспекти є зонами, де ОПП «Цифровий соціум» найбільше потребує вдосконалення з погляду IT-ринку.</w:t>
      </w:r>
    </w:p>
    <w:p w14:paraId="2E8BE570" w14:textId="77777777" w:rsidR="006E6A36" w:rsidRDefault="00000000">
      <w:pPr>
        <w:spacing w:before="80" w:after="80"/>
        <w:jc w:val="both"/>
      </w:pPr>
      <w:r>
        <w:rPr>
          <w:b/>
          <w:bCs/>
          <w:color w:val="1A1040"/>
        </w:rPr>
        <w:t xml:space="preserve">7.5. Конкретні та цінні пропозиції. </w:t>
      </w:r>
      <w:r>
        <w:t>Додати компетентність з критичного мислення та інформаційної гігієни (роботодавець 2), посилити цифрову освіченість та ділову англійську, краще готувати студентів до виходу на ринок праці (роботодавець 1). Усі пропозиції — реалістичні та конкретні.</w:t>
      </w:r>
    </w:p>
    <w:p w14:paraId="47EDC597" w14:textId="77777777" w:rsidR="006E6A36" w:rsidRDefault="006E6A36">
      <w:pPr>
        <w:spacing w:before="160"/>
      </w:pPr>
    </w:p>
    <w:p w14:paraId="07C20BC6" w14:textId="77777777" w:rsidR="006E6A36" w:rsidRDefault="006E6A36">
      <w:pPr>
        <w:pBdr>
          <w:bottom w:val="single" w:sz="6" w:space="1" w:color="3B2D8F"/>
        </w:pBdr>
      </w:pPr>
    </w:p>
    <w:p w14:paraId="3A4A5D35" w14:textId="77777777" w:rsidR="006E6A36" w:rsidRDefault="006E6A36">
      <w:pPr>
        <w:spacing w:before="100"/>
      </w:pPr>
    </w:p>
    <w:p w14:paraId="51E68F86" w14:textId="77777777" w:rsidR="006E6A36" w:rsidRDefault="00000000">
      <w:pPr>
        <w:spacing w:before="60" w:after="60"/>
      </w:pPr>
      <w:r>
        <w:rPr>
          <w:b/>
          <w:bCs/>
          <w:i/>
          <w:iCs/>
          <w:color w:val="1A1040"/>
          <w:sz w:val="20"/>
          <w:szCs w:val="20"/>
        </w:rPr>
        <w:lastRenderedPageBreak/>
        <w:t>Методологічна нотатка</w:t>
      </w:r>
    </w:p>
    <w:p w14:paraId="151CD648" w14:textId="77777777" w:rsidR="006E6A36" w:rsidRDefault="00000000">
      <w:pPr>
        <w:spacing w:after="40"/>
      </w:pPr>
      <w:r>
        <w:rPr>
          <w:i/>
          <w:iCs/>
          <w:color w:val="777777"/>
          <w:sz w:val="18"/>
          <w:szCs w:val="18"/>
        </w:rPr>
        <w:t>Метод: онлайн-анкетування (Google Forms). Цільова аудиторія: роботодавці-партнери ОПП «Цифровий соціум». Вибірка: n=2 (менеджер IT-компанії та керівник підрозділу держ. ЗВО). Анкета: 24 питання — профіль, залученість, шкала згоди (8 тверджень), практична підготовка, відкриті питання. Обробка: описовий аналіз індивідуальних відповідей (без відсоткових узагальнень через малий обсяг вибірки).</w:t>
      </w:r>
    </w:p>
    <w:sectPr w:rsidR="006E6A36">
      <w:headerReference w:type="default" r:id="rId7"/>
      <w:pgSz w:w="11906" w:h="16838"/>
      <w:pgMar w:top="1440" w:right="1440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85188" w14:textId="77777777" w:rsidR="000917CE" w:rsidRDefault="000917CE">
      <w:r>
        <w:separator/>
      </w:r>
    </w:p>
  </w:endnote>
  <w:endnote w:type="continuationSeparator" w:id="0">
    <w:p w14:paraId="001B4BBD" w14:textId="77777777" w:rsidR="000917CE" w:rsidRDefault="0009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25006" w14:textId="77777777" w:rsidR="000917CE" w:rsidRDefault="000917CE">
      <w:r>
        <w:separator/>
      </w:r>
    </w:p>
  </w:footnote>
  <w:footnote w:type="continuationSeparator" w:id="0">
    <w:p w14:paraId="7F732C05" w14:textId="77777777" w:rsidR="000917CE" w:rsidRDefault="00091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530D6" w14:textId="77777777" w:rsidR="006E6A36" w:rsidRDefault="00000000">
    <w:pPr>
      <w:pBdr>
        <w:bottom w:val="single" w:sz="4" w:space="1" w:color="C4BCE8"/>
      </w:pBdr>
      <w:spacing w:after="60"/>
    </w:pPr>
    <w:r>
      <w:rPr>
        <w:color w:val="888888"/>
        <w:sz w:val="18"/>
        <w:szCs w:val="18"/>
      </w:rPr>
      <w:t>ОПП «Цифровий соціум» · Опитування роботодавців ·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D1F51"/>
    <w:multiLevelType w:val="hybridMultilevel"/>
    <w:tmpl w:val="23E0CD3E"/>
    <w:lvl w:ilvl="0" w:tplc="4FACF7E0">
      <w:start w:val="1"/>
      <w:numFmt w:val="bullet"/>
      <w:lvlText w:val="–"/>
      <w:lvlJc w:val="left"/>
      <w:pPr>
        <w:ind w:left="540" w:hanging="360"/>
      </w:pPr>
    </w:lvl>
    <w:lvl w:ilvl="1" w:tplc="E24E65E2">
      <w:numFmt w:val="decimal"/>
      <w:lvlText w:val=""/>
      <w:lvlJc w:val="left"/>
    </w:lvl>
    <w:lvl w:ilvl="2" w:tplc="3064C152">
      <w:numFmt w:val="decimal"/>
      <w:lvlText w:val=""/>
      <w:lvlJc w:val="left"/>
    </w:lvl>
    <w:lvl w:ilvl="3" w:tplc="EA881888">
      <w:numFmt w:val="decimal"/>
      <w:lvlText w:val=""/>
      <w:lvlJc w:val="left"/>
    </w:lvl>
    <w:lvl w:ilvl="4" w:tplc="67967A96">
      <w:numFmt w:val="decimal"/>
      <w:lvlText w:val=""/>
      <w:lvlJc w:val="left"/>
    </w:lvl>
    <w:lvl w:ilvl="5" w:tplc="5F4A1EA8">
      <w:numFmt w:val="decimal"/>
      <w:lvlText w:val=""/>
      <w:lvlJc w:val="left"/>
    </w:lvl>
    <w:lvl w:ilvl="6" w:tplc="8ED622A8">
      <w:numFmt w:val="decimal"/>
      <w:lvlText w:val=""/>
      <w:lvlJc w:val="left"/>
    </w:lvl>
    <w:lvl w:ilvl="7" w:tplc="E24E7A04">
      <w:numFmt w:val="decimal"/>
      <w:lvlText w:val=""/>
      <w:lvlJc w:val="left"/>
    </w:lvl>
    <w:lvl w:ilvl="8" w:tplc="7556E074">
      <w:numFmt w:val="decimal"/>
      <w:lvlText w:val=""/>
      <w:lvlJc w:val="left"/>
    </w:lvl>
  </w:abstractNum>
  <w:abstractNum w:abstractNumId="1" w15:restartNumberingAfterBreak="0">
    <w:nsid w:val="5D7C382F"/>
    <w:multiLevelType w:val="hybridMultilevel"/>
    <w:tmpl w:val="606CA7EA"/>
    <w:lvl w:ilvl="0" w:tplc="434C24B0">
      <w:start w:val="1"/>
      <w:numFmt w:val="bullet"/>
      <w:lvlText w:val="●"/>
      <w:lvlJc w:val="left"/>
      <w:pPr>
        <w:ind w:left="720" w:hanging="360"/>
      </w:pPr>
    </w:lvl>
    <w:lvl w:ilvl="1" w:tplc="F8B0FE56">
      <w:start w:val="1"/>
      <w:numFmt w:val="bullet"/>
      <w:lvlText w:val="○"/>
      <w:lvlJc w:val="left"/>
      <w:pPr>
        <w:ind w:left="1440" w:hanging="360"/>
      </w:pPr>
    </w:lvl>
    <w:lvl w:ilvl="2" w:tplc="B2B422FC">
      <w:start w:val="1"/>
      <w:numFmt w:val="bullet"/>
      <w:lvlText w:val="■"/>
      <w:lvlJc w:val="left"/>
      <w:pPr>
        <w:ind w:left="2160" w:hanging="360"/>
      </w:pPr>
    </w:lvl>
    <w:lvl w:ilvl="3" w:tplc="A740DBA2">
      <w:start w:val="1"/>
      <w:numFmt w:val="bullet"/>
      <w:lvlText w:val="●"/>
      <w:lvlJc w:val="left"/>
      <w:pPr>
        <w:ind w:left="2880" w:hanging="360"/>
      </w:pPr>
    </w:lvl>
    <w:lvl w:ilvl="4" w:tplc="62885550">
      <w:start w:val="1"/>
      <w:numFmt w:val="bullet"/>
      <w:lvlText w:val="○"/>
      <w:lvlJc w:val="left"/>
      <w:pPr>
        <w:ind w:left="3600" w:hanging="360"/>
      </w:pPr>
    </w:lvl>
    <w:lvl w:ilvl="5" w:tplc="4A0ACAB2">
      <w:start w:val="1"/>
      <w:numFmt w:val="bullet"/>
      <w:lvlText w:val="■"/>
      <w:lvlJc w:val="left"/>
      <w:pPr>
        <w:ind w:left="4320" w:hanging="360"/>
      </w:pPr>
    </w:lvl>
    <w:lvl w:ilvl="6" w:tplc="9B466260">
      <w:start w:val="1"/>
      <w:numFmt w:val="bullet"/>
      <w:lvlText w:val="●"/>
      <w:lvlJc w:val="left"/>
      <w:pPr>
        <w:ind w:left="5040" w:hanging="360"/>
      </w:pPr>
    </w:lvl>
    <w:lvl w:ilvl="7" w:tplc="5090FBEA">
      <w:start w:val="1"/>
      <w:numFmt w:val="bullet"/>
      <w:lvlText w:val="●"/>
      <w:lvlJc w:val="left"/>
      <w:pPr>
        <w:ind w:left="5760" w:hanging="360"/>
      </w:pPr>
    </w:lvl>
    <w:lvl w:ilvl="8" w:tplc="CD8E5C8C">
      <w:start w:val="1"/>
      <w:numFmt w:val="bullet"/>
      <w:lvlText w:val="●"/>
      <w:lvlJc w:val="left"/>
      <w:pPr>
        <w:ind w:left="6480" w:hanging="360"/>
      </w:pPr>
    </w:lvl>
  </w:abstractNum>
  <w:num w:numId="1" w16cid:durableId="1544831708">
    <w:abstractNumId w:val="1"/>
    <w:lvlOverride w:ilvl="0">
      <w:startOverride w:val="1"/>
    </w:lvlOverride>
  </w:num>
  <w:num w:numId="2" w16cid:durableId="16894099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A36"/>
    <w:rsid w:val="000917CE"/>
    <w:rsid w:val="006E6A36"/>
    <w:rsid w:val="00A60FA3"/>
    <w:rsid w:val="00FB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398D20"/>
  <w15:docId w15:val="{3678EEC1-7705-5C42-BBDD-8348F948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C2A3E"/>
        <w:sz w:val="22"/>
        <w:szCs w:val="22"/>
        <w:lang w:val="ru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360" w:after="120"/>
      <w:outlineLvl w:val="0"/>
    </w:pPr>
    <w:rPr>
      <w:b/>
      <w:bCs/>
      <w:color w:val="3B2D8F"/>
      <w:sz w:val="28"/>
      <w:szCs w:val="28"/>
    </w:rPr>
  </w:style>
  <w:style w:type="paragraph" w:styleId="2">
    <w:name w:val="heading 2"/>
    <w:uiPriority w:val="9"/>
    <w:unhideWhenUsed/>
    <w:qFormat/>
    <w:pPr>
      <w:spacing w:before="220" w:after="80"/>
      <w:outlineLvl w:val="1"/>
    </w:pPr>
    <w:rPr>
      <w:b/>
      <w:bCs/>
      <w:color w:val="1A1040"/>
      <w:sz w:val="24"/>
      <w:szCs w:val="24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1327</Words>
  <Characters>7569</Characters>
  <Application>Microsoft Office Word</Application>
  <DocSecurity>0</DocSecurity>
  <Lines>63</Lines>
  <Paragraphs>17</Paragraphs>
  <ScaleCrop>false</ScaleCrop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Iryna Ilchenko</cp:lastModifiedBy>
  <cp:revision>2</cp:revision>
  <dcterms:created xsi:type="dcterms:W3CDTF">2026-03-11T09:00:00Z</dcterms:created>
  <dcterms:modified xsi:type="dcterms:W3CDTF">2026-03-11T09:15:00Z</dcterms:modified>
</cp:coreProperties>
</file>