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9E30" w14:textId="77777777" w:rsidR="00957DD9" w:rsidRDefault="00000000">
      <w:pPr>
        <w:shd w:val="clear" w:color="auto" w:fill="3B2D8F"/>
      </w:pPr>
      <w:r>
        <w:rPr>
          <w:sz w:val="8"/>
          <w:szCs w:val="8"/>
        </w:rPr>
        <w:t xml:space="preserve"> </w:t>
      </w:r>
    </w:p>
    <w:p w14:paraId="603D472A" w14:textId="77777777" w:rsidR="00957DD9" w:rsidRDefault="00000000">
      <w:pPr>
        <w:spacing w:before="240" w:after="80"/>
        <w:jc w:val="center"/>
      </w:pPr>
      <w:r>
        <w:rPr>
          <w:b/>
          <w:bCs/>
          <w:caps/>
          <w:color w:val="1A1040"/>
          <w:sz w:val="20"/>
          <w:szCs w:val="20"/>
        </w:rPr>
        <w:t>ХАРКІВСЬКИЙ НАЦІОНАЛЬНИЙ УНІВЕРСИТЕТ імені В. Н. КАРАЗІНА</w:t>
      </w:r>
    </w:p>
    <w:p w14:paraId="29E00B26" w14:textId="77777777" w:rsidR="00957DD9" w:rsidRDefault="00000000">
      <w:pPr>
        <w:spacing w:after="80"/>
        <w:jc w:val="center"/>
      </w:pPr>
      <w:r>
        <w:rPr>
          <w:color w:val="1A1040"/>
          <w:sz w:val="20"/>
          <w:szCs w:val="20"/>
        </w:rPr>
        <w:t>Навчально-науковий інститут соціології та медіакомунікацій</w:t>
      </w:r>
    </w:p>
    <w:p w14:paraId="13187212" w14:textId="77777777" w:rsidR="00957DD9" w:rsidRDefault="00957DD9">
      <w:pPr>
        <w:pBdr>
          <w:bottom w:val="single" w:sz="6" w:space="1" w:color="3B2D8F"/>
        </w:pBdr>
      </w:pPr>
    </w:p>
    <w:p w14:paraId="2BDCD809" w14:textId="77777777" w:rsidR="00957DD9" w:rsidRDefault="00957DD9">
      <w:pPr>
        <w:spacing w:before="200"/>
      </w:pPr>
    </w:p>
    <w:p w14:paraId="52588D49" w14:textId="77777777" w:rsidR="00957DD9" w:rsidRDefault="00000000">
      <w:pPr>
        <w:spacing w:after="80"/>
        <w:jc w:val="center"/>
      </w:pPr>
      <w:r>
        <w:rPr>
          <w:b/>
          <w:bCs/>
          <w:caps/>
          <w:color w:val="3B2D8F"/>
          <w:sz w:val="32"/>
          <w:szCs w:val="32"/>
        </w:rPr>
        <w:t>АНАЛІТИЧНИЙ ЗВІТ</w:t>
      </w:r>
    </w:p>
    <w:p w14:paraId="2A311651" w14:textId="77777777" w:rsidR="00957DD9" w:rsidRDefault="00000000">
      <w:pPr>
        <w:spacing w:after="80"/>
        <w:jc w:val="center"/>
      </w:pPr>
      <w:r>
        <w:rPr>
          <w:color w:val="1A1040"/>
          <w:sz w:val="26"/>
          <w:szCs w:val="26"/>
        </w:rPr>
        <w:t>за результатами опитування викладачів</w:t>
      </w:r>
    </w:p>
    <w:p w14:paraId="3831F160" w14:textId="77777777" w:rsidR="00957DD9" w:rsidRDefault="00000000">
      <w:pPr>
        <w:spacing w:after="200"/>
        <w:jc w:val="center"/>
      </w:pPr>
      <w:r>
        <w:rPr>
          <w:b/>
          <w:bCs/>
          <w:color w:val="1A1040"/>
          <w:sz w:val="26"/>
          <w:szCs w:val="26"/>
        </w:rPr>
        <w:t>освітньої програми «Цифровий соціум» (ЦС)</w:t>
      </w:r>
    </w:p>
    <w:p w14:paraId="6F05C272" w14:textId="77777777" w:rsidR="00957DD9" w:rsidRDefault="00957DD9">
      <w:pPr>
        <w:pBdr>
          <w:bottom w:val="single" w:sz="6" w:space="1" w:color="3B2D8F"/>
        </w:pBdr>
      </w:pPr>
    </w:p>
    <w:p w14:paraId="4B016FB2" w14:textId="77777777" w:rsidR="00957DD9" w:rsidRDefault="00957DD9">
      <w:pPr>
        <w:spacing w:before="1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957DD9" w14:paraId="3DEB6D33"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1126E93E" w14:textId="77777777" w:rsidR="00957DD9" w:rsidRDefault="00000000">
            <w:r>
              <w:rPr>
                <w:b/>
                <w:bCs/>
                <w:color w:val="1A1040"/>
                <w:sz w:val="20"/>
                <w:szCs w:val="20"/>
              </w:rPr>
              <w:t>Рівень ОПП:</w:t>
            </w:r>
          </w:p>
        </w:tc>
        <w:tc>
          <w:tcPr>
            <w:tcW w:w="6826"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1CCEA061" w14:textId="182C793B" w:rsidR="00957DD9" w:rsidRDefault="00DB74A1">
            <w:r>
              <w:rPr>
                <w:sz w:val="20"/>
                <w:szCs w:val="20"/>
                <w:lang w:val="ru-RU"/>
              </w:rPr>
              <w:t>Д</w:t>
            </w:r>
            <w:r w:rsidR="00000000">
              <w:rPr>
                <w:sz w:val="20"/>
                <w:szCs w:val="20"/>
              </w:rPr>
              <w:t>ругий (магістерський)</w:t>
            </w:r>
          </w:p>
        </w:tc>
      </w:tr>
      <w:tr w:rsidR="00957DD9" w14:paraId="409EEFC9"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0BC90DB4" w14:textId="77777777" w:rsidR="00957DD9" w:rsidRDefault="00000000">
            <w:r>
              <w:rPr>
                <w:b/>
                <w:bCs/>
                <w:color w:val="1A1040"/>
                <w:sz w:val="20"/>
                <w:szCs w:val="20"/>
              </w:rPr>
              <w:t>Метод збору даних:</w:t>
            </w:r>
          </w:p>
        </w:tc>
        <w:tc>
          <w:tcPr>
            <w:tcW w:w="6826"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3B1F7381" w14:textId="77777777" w:rsidR="00957DD9" w:rsidRDefault="00000000">
            <w:r>
              <w:rPr>
                <w:sz w:val="20"/>
                <w:szCs w:val="20"/>
              </w:rPr>
              <w:t>Онлайн-анкетування (Google Forms)</w:t>
            </w:r>
          </w:p>
        </w:tc>
      </w:tr>
      <w:tr w:rsidR="00957DD9" w14:paraId="380BE819"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C61B648" w14:textId="77777777" w:rsidR="00957DD9" w:rsidRDefault="00000000">
            <w:r>
              <w:rPr>
                <w:b/>
                <w:bCs/>
                <w:color w:val="1A1040"/>
                <w:sz w:val="20"/>
                <w:szCs w:val="20"/>
              </w:rPr>
              <w:t>Період збору даних:</w:t>
            </w:r>
          </w:p>
        </w:tc>
        <w:tc>
          <w:tcPr>
            <w:tcW w:w="6826"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3B9AADD7" w14:textId="77777777" w:rsidR="00957DD9" w:rsidRDefault="00000000">
            <w:r>
              <w:rPr>
                <w:sz w:val="20"/>
                <w:szCs w:val="20"/>
              </w:rPr>
              <w:t>Березень 2026 року</w:t>
            </w:r>
          </w:p>
        </w:tc>
      </w:tr>
      <w:tr w:rsidR="00957DD9" w14:paraId="3E17FA9F"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3BD3DC80" w14:textId="77777777" w:rsidR="00957DD9" w:rsidRDefault="00000000">
            <w:r>
              <w:rPr>
                <w:b/>
                <w:bCs/>
                <w:color w:val="1A1040"/>
                <w:sz w:val="20"/>
                <w:szCs w:val="20"/>
              </w:rPr>
              <w:t>Обсяг вибірки:</w:t>
            </w:r>
          </w:p>
        </w:tc>
        <w:tc>
          <w:tcPr>
            <w:tcW w:w="6826"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49BEF709" w14:textId="77777777" w:rsidR="00957DD9" w:rsidRDefault="00000000">
            <w:r>
              <w:rPr>
                <w:sz w:val="20"/>
                <w:szCs w:val="20"/>
              </w:rPr>
              <w:t>n = 4 особи</w:t>
            </w:r>
          </w:p>
        </w:tc>
      </w:tr>
      <w:tr w:rsidR="00957DD9" w14:paraId="76871402"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38F6843F" w14:textId="77777777" w:rsidR="00957DD9" w:rsidRDefault="00000000">
            <w:r>
              <w:rPr>
                <w:b/>
                <w:bCs/>
                <w:color w:val="1A1040"/>
                <w:sz w:val="20"/>
                <w:szCs w:val="20"/>
              </w:rPr>
              <w:t>Складено:</w:t>
            </w:r>
          </w:p>
        </w:tc>
        <w:tc>
          <w:tcPr>
            <w:tcW w:w="6826"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643C4099" w14:textId="77777777" w:rsidR="00957DD9" w:rsidRDefault="00000000">
            <w:r>
              <w:rPr>
                <w:sz w:val="20"/>
                <w:szCs w:val="20"/>
              </w:rPr>
              <w:t>ННІ соціології та медіакомунікацій, 2026</w:t>
            </w:r>
          </w:p>
        </w:tc>
      </w:tr>
    </w:tbl>
    <w:p w14:paraId="3717762E" w14:textId="77777777" w:rsidR="00957DD9" w:rsidRDefault="00957DD9">
      <w:pPr>
        <w:spacing w:before="200"/>
      </w:pPr>
    </w:p>
    <w:p w14:paraId="1A1D9A4E" w14:textId="77777777" w:rsidR="00957DD9" w:rsidRDefault="00957DD9">
      <w:pPr>
        <w:pBdr>
          <w:bottom w:val="single" w:sz="6" w:space="1" w:color="3B2D8F"/>
        </w:pBdr>
      </w:pPr>
    </w:p>
    <w:p w14:paraId="7CB562C5" w14:textId="77777777" w:rsidR="00957DD9" w:rsidRDefault="00957DD9">
      <w:pPr>
        <w:spacing w:before="400"/>
      </w:pPr>
    </w:p>
    <w:p w14:paraId="559B27DC" w14:textId="77777777" w:rsidR="00957DD9" w:rsidRDefault="00000000">
      <w:pPr>
        <w:pStyle w:val="1"/>
      </w:pPr>
      <w:r>
        <w:t>1. Загальні відомості про опитування</w:t>
      </w:r>
    </w:p>
    <w:p w14:paraId="3C550C59" w14:textId="4402861E" w:rsidR="00957DD9" w:rsidRDefault="00000000">
      <w:pPr>
        <w:spacing w:before="80" w:after="80"/>
        <w:jc w:val="both"/>
      </w:pPr>
      <w:r>
        <w:t xml:space="preserve">Опитування викладачів освітньої програми «Цифровий соціум» проводилося в </w:t>
      </w:r>
      <w:r w:rsidR="00DB74A1">
        <w:rPr>
          <w:lang w:val="ru-RU"/>
        </w:rPr>
        <w:t xml:space="preserve">лютому - </w:t>
      </w:r>
      <w:r w:rsidRPr="00DB74A1">
        <w:rPr>
          <w:color w:val="3B2D8F"/>
        </w:rPr>
        <w:t>березні 2026 року</w:t>
      </w:r>
      <w:r>
        <w:t xml:space="preserve"> у форматі онлайн-анкетування через Google Forms. Метою опитування було з'ясувати думку науково-педагогічного складу щодо якості реалізації ОПП: організації навчального процесу, відповідності програми сучасним викликам, умов праці та можливостей для фахового зростання.</w:t>
      </w:r>
    </w:p>
    <w:p w14:paraId="25C77B9D" w14:textId="2FE00B89" w:rsidR="00957DD9" w:rsidRDefault="00000000">
      <w:pPr>
        <w:spacing w:before="80" w:after="80"/>
        <w:jc w:val="both"/>
      </w:pPr>
      <w:r>
        <w:t xml:space="preserve">До участі в анкетуванні залучалися всі викладачі, що беруть безпосередню участь у реалізації програми. У підсумку відповіді надали </w:t>
      </w:r>
      <w:r w:rsidRPr="00DB74A1">
        <w:rPr>
          <w:color w:val="3B2D8F"/>
        </w:rPr>
        <w:t>4 особи</w:t>
      </w:r>
      <w:r w:rsidRPr="00DB74A1">
        <w:t>:</w:t>
      </w:r>
      <w:r>
        <w:t xml:space="preserve"> 3 професори та 1 доцент. Один із респондентів є зовнішнім сумісником з іншого державного закладу вищої освіти. </w:t>
      </w:r>
    </w:p>
    <w:p w14:paraId="70DE023C" w14:textId="77777777" w:rsidR="00957DD9" w:rsidRDefault="00957DD9">
      <w:pPr>
        <w:spacing w:before="120"/>
      </w:pPr>
    </w:p>
    <w:p w14:paraId="1008AD96" w14:textId="77777777" w:rsidR="00957DD9" w:rsidRDefault="00000000">
      <w:pPr>
        <w:pStyle w:val="1"/>
      </w:pPr>
      <w:r>
        <w:t>2. Профіль респондентів</w:t>
      </w:r>
    </w:p>
    <w:p w14:paraId="37F81BA6" w14:textId="77777777" w:rsidR="00957DD9" w:rsidRDefault="00000000">
      <w:pPr>
        <w:spacing w:before="80" w:after="80"/>
        <w:jc w:val="both"/>
      </w:pPr>
      <w:r>
        <w:t>За посадовим складом учасники опитування розподілились таким чином:</w:t>
      </w:r>
    </w:p>
    <w:p w14:paraId="44498612" w14:textId="77777777" w:rsidR="00957DD9" w:rsidRDefault="00000000">
      <w:pPr>
        <w:pStyle w:val="a4"/>
        <w:numPr>
          <w:ilvl w:val="0"/>
          <w:numId w:val="2"/>
        </w:numPr>
        <w:spacing w:before="40" w:after="40"/>
      </w:pPr>
      <w:r>
        <w:t>3 особи — професор</w:t>
      </w:r>
    </w:p>
    <w:p w14:paraId="53A9476A" w14:textId="77777777" w:rsidR="00957DD9" w:rsidRDefault="00000000">
      <w:pPr>
        <w:pStyle w:val="a4"/>
        <w:numPr>
          <w:ilvl w:val="0"/>
          <w:numId w:val="2"/>
        </w:numPr>
        <w:spacing w:before="40" w:after="40"/>
      </w:pPr>
      <w:r>
        <w:t>1 особа — доцент</w:t>
      </w:r>
    </w:p>
    <w:p w14:paraId="20259669" w14:textId="77777777" w:rsidR="00957DD9" w:rsidRDefault="00957DD9">
      <w:pPr>
        <w:spacing w:before="80"/>
      </w:pPr>
    </w:p>
    <w:p w14:paraId="5D07F902" w14:textId="77777777" w:rsidR="00957DD9" w:rsidRDefault="00000000">
      <w:pPr>
        <w:spacing w:before="80" w:after="80"/>
        <w:jc w:val="both"/>
      </w:pPr>
      <w:r>
        <w:t xml:space="preserve">Один із чотирьох учасників — зовнішній сумісник (з іншого державного ЗВО). Решта є штатними викладачами ХНУ імені В. Н. Каразіна. Варто зазначити, що за академічним рівнем склад опитаних є </w:t>
      </w:r>
      <w:r w:rsidRPr="00DB74A1">
        <w:rPr>
          <w:color w:val="1A1040"/>
        </w:rPr>
        <w:t>переважно старшим та досвідченим</w:t>
      </w:r>
      <w:r w:rsidRPr="00DB74A1">
        <w:t>,</w:t>
      </w:r>
      <w:r>
        <w:t xml:space="preserve"> що надає відповідям особливої ваги з огляду на оцінку наукової та методичної складових програми.</w:t>
      </w:r>
    </w:p>
    <w:p w14:paraId="15E8AAC7" w14:textId="77777777" w:rsidR="00957DD9" w:rsidRDefault="00957DD9">
      <w:pPr>
        <w:spacing w:before="120"/>
      </w:pPr>
    </w:p>
    <w:p w14:paraId="19EC6119" w14:textId="77777777" w:rsidR="00957DD9" w:rsidRDefault="00000000">
      <w:pPr>
        <w:pStyle w:val="1"/>
      </w:pPr>
      <w:r>
        <w:t>3. Організація навчального процесу</w:t>
      </w:r>
    </w:p>
    <w:p w14:paraId="1C55B687" w14:textId="77777777" w:rsidR="00957DD9" w:rsidRDefault="00000000">
      <w:pPr>
        <w:pStyle w:val="2"/>
      </w:pPr>
      <w:r>
        <w:t>3.1. Вибір дисциплін</w:t>
      </w:r>
    </w:p>
    <w:p w14:paraId="1F482699" w14:textId="77777777" w:rsidR="00957DD9" w:rsidRDefault="00000000">
      <w:pPr>
        <w:spacing w:before="80" w:after="80"/>
        <w:jc w:val="both"/>
      </w:pPr>
      <w:r>
        <w:t xml:space="preserve">На запитання про задоволеність організацією системи вибору дисциплін </w:t>
      </w:r>
      <w:r>
        <w:rPr>
          <w:b/>
          <w:bCs/>
          <w:color w:val="3B2D8F"/>
        </w:rPr>
        <w:t>3 з 4 викладачів</w:t>
      </w:r>
      <w:r>
        <w:t xml:space="preserve"> відповіли, що вона їх влаштовує (або скоріше влаштовує). </w:t>
      </w:r>
      <w:r>
        <w:rPr>
          <w:b/>
          <w:bCs/>
          <w:color w:val="3B2D8F"/>
        </w:rPr>
        <w:t>1 респондент</w:t>
      </w:r>
      <w:r>
        <w:t xml:space="preserve"> зазначив, що система «скоріше не влаштовує», — це єдина негативна відповідь у цьому блоці. Попри її поодинокість, вона може вказувати на певні обмеження у гнучкості навчального плану або у процедурі вибору дисциплін, які варто вивчити додатково.</w:t>
      </w:r>
    </w:p>
    <w:p w14:paraId="2DFD6EFC" w14:textId="77777777" w:rsidR="00957DD9" w:rsidRDefault="00000000">
      <w:pPr>
        <w:pStyle w:val="2"/>
      </w:pPr>
      <w:r>
        <w:t>3.2. Достатність аудиторного навантаження</w:t>
      </w:r>
    </w:p>
    <w:p w14:paraId="6E97843F" w14:textId="77777777" w:rsidR="00957DD9" w:rsidRDefault="00000000">
      <w:pPr>
        <w:spacing w:before="80" w:after="80"/>
        <w:jc w:val="both"/>
      </w:pPr>
      <w:r>
        <w:rPr>
          <w:b/>
          <w:bCs/>
          <w:color w:val="3B2D8F"/>
        </w:rPr>
        <w:t>4 з 4 викладачів</w:t>
      </w:r>
      <w:r>
        <w:t xml:space="preserve"> підтвердили, що наявний обсяг аудиторних годин є достатнім для якісного проведення занять. Одностайність відповідей свідчить про збалансованість навчального плану щодо аудиторного навантаження.</w:t>
      </w:r>
    </w:p>
    <w:p w14:paraId="45B968C3" w14:textId="77777777" w:rsidR="00957DD9" w:rsidRDefault="00000000">
      <w:pPr>
        <w:pStyle w:val="2"/>
      </w:pPr>
      <w:r>
        <w:t>3.3. Залучення до наукових досліджень</w:t>
      </w:r>
    </w:p>
    <w:p w14:paraId="74F4CEB0" w14:textId="77777777" w:rsidR="00957DD9" w:rsidRDefault="00000000">
      <w:pPr>
        <w:spacing w:before="80" w:after="80"/>
        <w:jc w:val="both"/>
      </w:pPr>
      <w:r>
        <w:t xml:space="preserve">Щодо залучення до наукової роботи думки розділились: </w:t>
      </w:r>
      <w:r>
        <w:rPr>
          <w:b/>
          <w:bCs/>
          <w:color w:val="3B2D8F"/>
        </w:rPr>
        <w:t>2 з 4</w:t>
      </w:r>
      <w:r>
        <w:t xml:space="preserve"> підтвердили залучення повною мірою, ще </w:t>
      </w:r>
      <w:r>
        <w:rPr>
          <w:b/>
          <w:bCs/>
          <w:color w:val="3B2D8F"/>
        </w:rPr>
        <w:t>2 з 4</w:t>
      </w:r>
      <w:r>
        <w:t xml:space="preserve"> — лише частково. Це може вказувати на нерівномірний розподіл наукових ресурсів або на відмінності у характері участі окремих викладачів у дослідницьких проєктах кафедри.</w:t>
      </w:r>
    </w:p>
    <w:p w14:paraId="6EAA2B93" w14:textId="77777777" w:rsidR="00957DD9" w:rsidRDefault="00000000">
      <w:pPr>
        <w:pStyle w:val="2"/>
      </w:pPr>
      <w:r>
        <w:t>3.4. Міжнародна академічна мобільність</w:t>
      </w:r>
    </w:p>
    <w:p w14:paraId="115686FD" w14:textId="77777777" w:rsidR="00957DD9" w:rsidRDefault="00000000">
      <w:pPr>
        <w:spacing w:before="80" w:after="80"/>
        <w:jc w:val="both"/>
      </w:pPr>
      <w:r>
        <w:rPr>
          <w:b/>
          <w:bCs/>
          <w:color w:val="3B2D8F"/>
        </w:rPr>
        <w:t>4 з 4 респондентів</w:t>
      </w:r>
      <w:r>
        <w:t xml:space="preserve"> підтвердили ознайомленість із програмами міжнародної академічної мобільності. Водночас картина щодо фактичного доступу до міжнародних інформаційних ресурсів є суттєво гіршою.</w:t>
      </w:r>
    </w:p>
    <w:p w14:paraId="3F8550A2" w14:textId="77777777" w:rsidR="00957DD9" w:rsidRDefault="00000000">
      <w:pPr>
        <w:pStyle w:val="2"/>
      </w:pPr>
      <w:r>
        <w:t>3.5. Доступ до міжнародних інформаційних ресурсів</w:t>
      </w:r>
    </w:p>
    <w:p w14:paraId="78731D95" w14:textId="05512F36" w:rsidR="00957DD9" w:rsidRDefault="00000000">
      <w:pPr>
        <w:spacing w:before="80" w:after="80"/>
        <w:jc w:val="both"/>
      </w:pPr>
      <w:r w:rsidRPr="00DB74A1">
        <w:rPr>
          <w:color w:val="000000" w:themeColor="text1"/>
        </w:rPr>
        <w:t xml:space="preserve">Лише 1 з 4 викладачів має повний доступ до міжнародних баз даних і наукових ресурсів, 2 з 4 </w:t>
      </w:r>
      <w:r>
        <w:t xml:space="preserve">— частковий доступ, а </w:t>
      </w:r>
      <w:r w:rsidRPr="00DB74A1">
        <w:rPr>
          <w:color w:val="3B2D8F"/>
        </w:rPr>
        <w:t>1 з 4</w:t>
      </w:r>
      <w:r>
        <w:t xml:space="preserve"> не має жодного. Для програми «Цифровий соціум», яка орієнтована на актуальні цифрові технології та міжнародні тренди, такий стан є особливо критичним: відсутність доступу до сучасних наукових видань безпосередньо обмежує якість підготовки.</w:t>
      </w:r>
    </w:p>
    <w:p w14:paraId="7342C8F3" w14:textId="77777777" w:rsidR="00957DD9" w:rsidRDefault="00957DD9">
      <w:pPr>
        <w:spacing w:before="120"/>
      </w:pPr>
    </w:p>
    <w:p w14:paraId="6423FACD" w14:textId="77777777" w:rsidR="00957DD9" w:rsidRDefault="00000000">
      <w:pPr>
        <w:pStyle w:val="1"/>
      </w:pPr>
      <w:r>
        <w:t>4. Оцінки освітнього середовища (шкала згоди)</w:t>
      </w:r>
    </w:p>
    <w:p w14:paraId="5359734C" w14:textId="77777777" w:rsidR="00957DD9" w:rsidRDefault="00000000">
      <w:pPr>
        <w:spacing w:before="80" w:after="80"/>
        <w:jc w:val="both"/>
      </w:pPr>
      <w:r>
        <w:t>Викладачам було запропоновано оцінити 9 тверджень щодо освітнього середовища за чотиривимірною шкалою: «Повністю згодні», «Скоріше згодні», «Змішана думка / важко відповісти», «Незгодні». Результати наведено в таблиці нижче (абсолютні числа, n=4).</w:t>
      </w:r>
    </w:p>
    <w:p w14:paraId="29A908DF" w14:textId="77777777" w:rsidR="00957DD9" w:rsidRDefault="00957DD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1200"/>
        <w:gridCol w:w="1200"/>
        <w:gridCol w:w="1200"/>
        <w:gridCol w:w="1226"/>
      </w:tblGrid>
      <w:tr w:rsidR="00957DD9" w14:paraId="62794797" w14:textId="77777777">
        <w:tblPrEx>
          <w:tblCellMar>
            <w:top w:w="0" w:type="dxa"/>
            <w:bottom w:w="0" w:type="dxa"/>
          </w:tblCellMar>
        </w:tblPrEx>
        <w:trPr>
          <w:tblHeader/>
        </w:trPr>
        <w:tc>
          <w:tcPr>
            <w:tcW w:w="4200" w:type="dxa"/>
            <w:tcBorders>
              <w:top w:val="single" w:sz="1" w:space="0" w:color="C5C0E0"/>
              <w:left w:val="single" w:sz="1" w:space="0" w:color="C5C0E0"/>
              <w:bottom w:val="single" w:sz="1" w:space="0" w:color="C5C0E0"/>
              <w:right w:val="single" w:sz="1" w:space="0" w:color="C5C0E0"/>
            </w:tcBorders>
            <w:shd w:val="clear" w:color="auto" w:fill="3B2D8F"/>
            <w:tcMar>
              <w:top w:w="80" w:type="dxa"/>
              <w:left w:w="120" w:type="dxa"/>
              <w:bottom w:w="80" w:type="dxa"/>
              <w:right w:w="120" w:type="dxa"/>
            </w:tcMar>
            <w:vAlign w:val="center"/>
          </w:tcPr>
          <w:p w14:paraId="54C619D1" w14:textId="77777777" w:rsidR="00957DD9" w:rsidRDefault="00000000">
            <w:pPr>
              <w:jc w:val="center"/>
            </w:pPr>
            <w:r>
              <w:rPr>
                <w:b/>
                <w:bCs/>
                <w:color w:val="FFFFFF"/>
                <w:sz w:val="20"/>
                <w:szCs w:val="20"/>
              </w:rPr>
              <w:t>Твердження</w:t>
            </w:r>
          </w:p>
        </w:tc>
        <w:tc>
          <w:tcPr>
            <w:tcW w:w="1200" w:type="dxa"/>
            <w:tcBorders>
              <w:top w:val="single" w:sz="1" w:space="0" w:color="C5C0E0"/>
              <w:left w:val="single" w:sz="1" w:space="0" w:color="C5C0E0"/>
              <w:bottom w:val="single" w:sz="1" w:space="0" w:color="C5C0E0"/>
              <w:right w:val="single" w:sz="1" w:space="0" w:color="C5C0E0"/>
            </w:tcBorders>
            <w:shd w:val="clear" w:color="auto" w:fill="3B2D8F"/>
            <w:tcMar>
              <w:top w:w="80" w:type="dxa"/>
              <w:left w:w="120" w:type="dxa"/>
              <w:bottom w:w="80" w:type="dxa"/>
              <w:right w:w="120" w:type="dxa"/>
            </w:tcMar>
            <w:vAlign w:val="center"/>
          </w:tcPr>
          <w:p w14:paraId="4ED959B7" w14:textId="77777777" w:rsidR="00957DD9" w:rsidRDefault="00000000">
            <w:pPr>
              <w:jc w:val="center"/>
            </w:pPr>
            <w:r>
              <w:rPr>
                <w:b/>
                <w:bCs/>
                <w:color w:val="FFFFFF"/>
                <w:sz w:val="20"/>
                <w:szCs w:val="20"/>
              </w:rPr>
              <w:t>Повністю згодні</w:t>
            </w:r>
          </w:p>
        </w:tc>
        <w:tc>
          <w:tcPr>
            <w:tcW w:w="1200" w:type="dxa"/>
            <w:tcBorders>
              <w:top w:val="single" w:sz="1" w:space="0" w:color="C5C0E0"/>
              <w:left w:val="single" w:sz="1" w:space="0" w:color="C5C0E0"/>
              <w:bottom w:val="single" w:sz="1" w:space="0" w:color="C5C0E0"/>
              <w:right w:val="single" w:sz="1" w:space="0" w:color="C5C0E0"/>
            </w:tcBorders>
            <w:shd w:val="clear" w:color="auto" w:fill="3B2D8F"/>
            <w:tcMar>
              <w:top w:w="80" w:type="dxa"/>
              <w:left w:w="120" w:type="dxa"/>
              <w:bottom w:w="80" w:type="dxa"/>
              <w:right w:w="120" w:type="dxa"/>
            </w:tcMar>
            <w:vAlign w:val="center"/>
          </w:tcPr>
          <w:p w14:paraId="0353A5D0" w14:textId="77777777" w:rsidR="00957DD9" w:rsidRDefault="00000000">
            <w:pPr>
              <w:jc w:val="center"/>
            </w:pPr>
            <w:r>
              <w:rPr>
                <w:b/>
                <w:bCs/>
                <w:color w:val="FFFFFF"/>
                <w:sz w:val="20"/>
                <w:szCs w:val="20"/>
              </w:rPr>
              <w:t>Скоріше згодні</w:t>
            </w:r>
          </w:p>
        </w:tc>
        <w:tc>
          <w:tcPr>
            <w:tcW w:w="1200" w:type="dxa"/>
            <w:tcBorders>
              <w:top w:val="single" w:sz="1" w:space="0" w:color="C5C0E0"/>
              <w:left w:val="single" w:sz="1" w:space="0" w:color="C5C0E0"/>
              <w:bottom w:val="single" w:sz="1" w:space="0" w:color="C5C0E0"/>
              <w:right w:val="single" w:sz="1" w:space="0" w:color="C5C0E0"/>
            </w:tcBorders>
            <w:shd w:val="clear" w:color="auto" w:fill="3B2D8F"/>
            <w:tcMar>
              <w:top w:w="80" w:type="dxa"/>
              <w:left w:w="120" w:type="dxa"/>
              <w:bottom w:w="80" w:type="dxa"/>
              <w:right w:w="120" w:type="dxa"/>
            </w:tcMar>
            <w:vAlign w:val="center"/>
          </w:tcPr>
          <w:p w14:paraId="3B0CD85B" w14:textId="77777777" w:rsidR="00957DD9" w:rsidRDefault="00000000">
            <w:pPr>
              <w:jc w:val="center"/>
            </w:pPr>
            <w:r>
              <w:rPr>
                <w:b/>
                <w:bCs/>
                <w:color w:val="FFFFFF"/>
                <w:sz w:val="20"/>
                <w:szCs w:val="20"/>
              </w:rPr>
              <w:t>Змішана / важко</w:t>
            </w:r>
          </w:p>
        </w:tc>
        <w:tc>
          <w:tcPr>
            <w:tcW w:w="1226" w:type="dxa"/>
            <w:tcBorders>
              <w:top w:val="single" w:sz="1" w:space="0" w:color="C5C0E0"/>
              <w:left w:val="single" w:sz="1" w:space="0" w:color="C5C0E0"/>
              <w:bottom w:val="single" w:sz="1" w:space="0" w:color="C5C0E0"/>
              <w:right w:val="single" w:sz="1" w:space="0" w:color="C5C0E0"/>
            </w:tcBorders>
            <w:shd w:val="clear" w:color="auto" w:fill="3B2D8F"/>
            <w:tcMar>
              <w:top w:w="80" w:type="dxa"/>
              <w:left w:w="120" w:type="dxa"/>
              <w:bottom w:w="80" w:type="dxa"/>
              <w:right w:w="120" w:type="dxa"/>
            </w:tcMar>
            <w:vAlign w:val="center"/>
          </w:tcPr>
          <w:p w14:paraId="76D4F2F3" w14:textId="77777777" w:rsidR="00957DD9" w:rsidRDefault="00000000">
            <w:pPr>
              <w:jc w:val="center"/>
            </w:pPr>
            <w:r>
              <w:rPr>
                <w:b/>
                <w:bCs/>
                <w:color w:val="FFFFFF"/>
                <w:sz w:val="20"/>
                <w:szCs w:val="20"/>
              </w:rPr>
              <w:t>Незгодні</w:t>
            </w:r>
          </w:p>
        </w:tc>
      </w:tr>
      <w:tr w:rsidR="00957DD9" w14:paraId="5CAC6098" w14:textId="77777777">
        <w:tblPrEx>
          <w:tblCellMar>
            <w:top w:w="0" w:type="dxa"/>
            <w:bottom w:w="0" w:type="dxa"/>
          </w:tblCellMar>
        </w:tblPrEx>
        <w:tc>
          <w:tcPr>
            <w:tcW w:w="4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61BC5AAC" w14:textId="77777777" w:rsidR="00957DD9" w:rsidRDefault="00000000">
            <w:r>
              <w:rPr>
                <w:sz w:val="20"/>
                <w:szCs w:val="20"/>
              </w:rPr>
              <w:t>Освітня програма враховує сучасні тенденції розвитку спеціальності</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11EF6B21" w14:textId="77777777" w:rsidR="00957DD9" w:rsidRDefault="00000000">
            <w:pPr>
              <w:jc w:val="center"/>
            </w:pPr>
            <w:r>
              <w:rPr>
                <w:b/>
                <w:bCs/>
                <w:color w:val="1A6B3C"/>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28ED8105" w14:textId="77777777" w:rsidR="00957DD9" w:rsidRDefault="00000000">
            <w:pPr>
              <w:jc w:val="center"/>
            </w:pPr>
            <w:r>
              <w:rPr>
                <w:color w:val="3B2D8F"/>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3A7B60DA" w14:textId="77777777" w:rsidR="00957DD9" w:rsidRDefault="00000000">
            <w:pPr>
              <w:jc w:val="center"/>
            </w:pPr>
            <w:r>
              <w:rPr>
                <w:color w:val="999999"/>
              </w:rPr>
              <w:t>—</w:t>
            </w:r>
          </w:p>
        </w:tc>
        <w:tc>
          <w:tcPr>
            <w:tcW w:w="12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2A3F6257" w14:textId="77777777" w:rsidR="00957DD9" w:rsidRDefault="00000000">
            <w:pPr>
              <w:jc w:val="center"/>
            </w:pPr>
            <w:r>
              <w:rPr>
                <w:color w:val="999999"/>
              </w:rPr>
              <w:t>—</w:t>
            </w:r>
          </w:p>
        </w:tc>
      </w:tr>
      <w:tr w:rsidR="00957DD9" w14:paraId="36E356CE" w14:textId="77777777">
        <w:tblPrEx>
          <w:tblCellMar>
            <w:top w:w="0" w:type="dxa"/>
            <w:bottom w:w="0" w:type="dxa"/>
          </w:tblCellMar>
        </w:tblPrEx>
        <w:tc>
          <w:tcPr>
            <w:tcW w:w="4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5C02A1E0" w14:textId="77777777" w:rsidR="00957DD9" w:rsidRDefault="00000000">
            <w:r>
              <w:rPr>
                <w:sz w:val="20"/>
                <w:szCs w:val="20"/>
              </w:rPr>
              <w:t>Освітня програма відповідає потребам ринку праці</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6C08F579" w14:textId="77777777" w:rsidR="00957DD9" w:rsidRDefault="00000000">
            <w:pPr>
              <w:jc w:val="center"/>
            </w:pPr>
            <w:r>
              <w:rPr>
                <w:b/>
                <w:bCs/>
                <w:color w:val="1A6B3C"/>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2EBE20C3" w14:textId="77777777" w:rsidR="00957DD9" w:rsidRDefault="00000000">
            <w:pPr>
              <w:jc w:val="center"/>
            </w:pPr>
            <w:r>
              <w:rPr>
                <w:color w:val="3B2D8F"/>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4EFBB1C7" w14:textId="77777777" w:rsidR="00957DD9" w:rsidRDefault="00000000">
            <w:pPr>
              <w:jc w:val="center"/>
            </w:pPr>
            <w:r>
              <w:rPr>
                <w:color w:val="999999"/>
              </w:rPr>
              <w:t>—</w:t>
            </w:r>
          </w:p>
        </w:tc>
        <w:tc>
          <w:tcPr>
            <w:tcW w:w="1226"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28E01070" w14:textId="77777777" w:rsidR="00957DD9" w:rsidRDefault="00000000">
            <w:pPr>
              <w:jc w:val="center"/>
            </w:pPr>
            <w:r>
              <w:rPr>
                <w:color w:val="999999"/>
              </w:rPr>
              <w:t>—</w:t>
            </w:r>
          </w:p>
        </w:tc>
      </w:tr>
      <w:tr w:rsidR="00957DD9" w14:paraId="053C2E49" w14:textId="77777777">
        <w:tblPrEx>
          <w:tblCellMar>
            <w:top w:w="0" w:type="dxa"/>
            <w:bottom w:w="0" w:type="dxa"/>
          </w:tblCellMar>
        </w:tblPrEx>
        <w:tc>
          <w:tcPr>
            <w:tcW w:w="4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4A85E691" w14:textId="77777777" w:rsidR="00957DD9" w:rsidRDefault="00000000">
            <w:r>
              <w:rPr>
                <w:sz w:val="20"/>
                <w:szCs w:val="20"/>
              </w:rPr>
              <w:lastRenderedPageBreak/>
              <w:t>Навчання дозволяє здобути необхідні компетентності</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0DEB1854" w14:textId="77777777" w:rsidR="00957DD9" w:rsidRDefault="00000000">
            <w:pPr>
              <w:jc w:val="center"/>
            </w:pPr>
            <w:r>
              <w:rPr>
                <w:color w:val="1A6B3C"/>
              </w:rPr>
              <w:t>1</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0F110537" w14:textId="77777777" w:rsidR="00957DD9" w:rsidRDefault="00000000">
            <w:pPr>
              <w:jc w:val="center"/>
            </w:pPr>
            <w:r>
              <w:rPr>
                <w:color w:val="3B2D8F"/>
              </w:rPr>
              <w:t>3</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1B01D963" w14:textId="77777777" w:rsidR="00957DD9" w:rsidRDefault="00000000">
            <w:pPr>
              <w:jc w:val="center"/>
            </w:pPr>
            <w:r>
              <w:rPr>
                <w:color w:val="999999"/>
              </w:rPr>
              <w:t>—</w:t>
            </w:r>
          </w:p>
        </w:tc>
        <w:tc>
          <w:tcPr>
            <w:tcW w:w="12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30FD6C9A" w14:textId="77777777" w:rsidR="00957DD9" w:rsidRDefault="00000000">
            <w:pPr>
              <w:jc w:val="center"/>
            </w:pPr>
            <w:r>
              <w:rPr>
                <w:color w:val="999999"/>
              </w:rPr>
              <w:t>—</w:t>
            </w:r>
          </w:p>
        </w:tc>
      </w:tr>
      <w:tr w:rsidR="00957DD9" w14:paraId="4E3CC658" w14:textId="77777777">
        <w:tblPrEx>
          <w:tblCellMar>
            <w:top w:w="0" w:type="dxa"/>
            <w:bottom w:w="0" w:type="dxa"/>
          </w:tblCellMar>
        </w:tblPrEx>
        <w:tc>
          <w:tcPr>
            <w:tcW w:w="4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70C84DEE" w14:textId="77777777" w:rsidR="00957DD9" w:rsidRDefault="00000000">
            <w:r>
              <w:rPr>
                <w:sz w:val="20"/>
                <w:szCs w:val="20"/>
              </w:rPr>
              <w:t>Умови навчання є безпечними для життя і здоров'я</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4F629221" w14:textId="77777777" w:rsidR="00957DD9" w:rsidRDefault="00000000">
            <w:pPr>
              <w:jc w:val="center"/>
            </w:pPr>
            <w:r>
              <w:rPr>
                <w:b/>
                <w:bCs/>
                <w:color w:val="1A6B3C"/>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138CE0C5" w14:textId="77777777" w:rsidR="00957DD9" w:rsidRDefault="00000000">
            <w:pPr>
              <w:jc w:val="center"/>
            </w:pPr>
            <w:r>
              <w:rPr>
                <w:color w:val="999999"/>
              </w:rPr>
              <w:t>—</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1E97A4CF" w14:textId="77777777" w:rsidR="00957DD9" w:rsidRDefault="00000000">
            <w:pPr>
              <w:jc w:val="center"/>
            </w:pPr>
            <w:r>
              <w:rPr>
                <w:color w:val="B45309"/>
              </w:rPr>
              <w:t>2</w:t>
            </w:r>
          </w:p>
        </w:tc>
        <w:tc>
          <w:tcPr>
            <w:tcW w:w="1226"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3A9A585D" w14:textId="77777777" w:rsidR="00957DD9" w:rsidRDefault="00000000">
            <w:pPr>
              <w:jc w:val="center"/>
            </w:pPr>
            <w:r>
              <w:rPr>
                <w:color w:val="999999"/>
              </w:rPr>
              <w:t>—</w:t>
            </w:r>
          </w:p>
        </w:tc>
      </w:tr>
      <w:tr w:rsidR="00957DD9" w14:paraId="0F4F3A9B" w14:textId="77777777">
        <w:tblPrEx>
          <w:tblCellMar>
            <w:top w:w="0" w:type="dxa"/>
            <w:bottom w:w="0" w:type="dxa"/>
          </w:tblCellMar>
        </w:tblPrEx>
        <w:tc>
          <w:tcPr>
            <w:tcW w:w="4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0C9200A7" w14:textId="77777777" w:rsidR="00957DD9" w:rsidRDefault="00000000">
            <w:r>
              <w:rPr>
                <w:sz w:val="20"/>
                <w:szCs w:val="20"/>
              </w:rPr>
              <w:t>Інформація на веб-сайті університету доступна і зрозуміла</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582FC29C" w14:textId="77777777" w:rsidR="00957DD9" w:rsidRDefault="00000000">
            <w:pPr>
              <w:jc w:val="center"/>
            </w:pPr>
            <w:r>
              <w:rPr>
                <w:b/>
                <w:bCs/>
                <w:color w:val="1A6B3C"/>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3B49C080" w14:textId="77777777" w:rsidR="00957DD9" w:rsidRDefault="00000000">
            <w:pPr>
              <w:jc w:val="center"/>
            </w:pPr>
            <w:r>
              <w:rPr>
                <w:color w:val="3B2D8F"/>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176AC293" w14:textId="77777777" w:rsidR="00957DD9" w:rsidRDefault="00000000">
            <w:pPr>
              <w:jc w:val="center"/>
            </w:pPr>
            <w:r>
              <w:rPr>
                <w:color w:val="999999"/>
              </w:rPr>
              <w:t>—</w:t>
            </w:r>
          </w:p>
        </w:tc>
        <w:tc>
          <w:tcPr>
            <w:tcW w:w="12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75B72D3C" w14:textId="77777777" w:rsidR="00957DD9" w:rsidRDefault="00000000">
            <w:pPr>
              <w:jc w:val="center"/>
            </w:pPr>
            <w:r>
              <w:rPr>
                <w:color w:val="999999"/>
              </w:rPr>
              <w:t>—</w:t>
            </w:r>
          </w:p>
        </w:tc>
      </w:tr>
      <w:tr w:rsidR="00957DD9" w14:paraId="1C8A0CB5" w14:textId="77777777">
        <w:tblPrEx>
          <w:tblCellMar>
            <w:top w:w="0" w:type="dxa"/>
            <w:bottom w:w="0" w:type="dxa"/>
          </w:tblCellMar>
        </w:tblPrEx>
        <w:tc>
          <w:tcPr>
            <w:tcW w:w="4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6D87FDAF" w14:textId="77777777" w:rsidR="00957DD9" w:rsidRDefault="00000000">
            <w:r>
              <w:rPr>
                <w:sz w:val="20"/>
                <w:szCs w:val="20"/>
              </w:rPr>
              <w:t>Нульова толерантність до порушення академічної доброчесності</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151C1751" w14:textId="77777777" w:rsidR="00957DD9" w:rsidRDefault="00000000">
            <w:pPr>
              <w:jc w:val="center"/>
            </w:pPr>
            <w:r>
              <w:rPr>
                <w:color w:val="1A6B3C"/>
              </w:rPr>
              <w:t>1</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71B731C0" w14:textId="77777777" w:rsidR="00957DD9" w:rsidRDefault="00000000">
            <w:pPr>
              <w:jc w:val="center"/>
            </w:pPr>
            <w:r>
              <w:rPr>
                <w:color w:val="3B2D8F"/>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1BFC7CDA" w14:textId="77777777" w:rsidR="00957DD9" w:rsidRDefault="00000000">
            <w:pPr>
              <w:jc w:val="center"/>
            </w:pPr>
            <w:r>
              <w:rPr>
                <w:color w:val="B45309"/>
              </w:rPr>
              <w:t>1</w:t>
            </w:r>
          </w:p>
        </w:tc>
        <w:tc>
          <w:tcPr>
            <w:tcW w:w="1226"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404E7277" w14:textId="77777777" w:rsidR="00957DD9" w:rsidRDefault="00000000">
            <w:pPr>
              <w:jc w:val="center"/>
            </w:pPr>
            <w:r>
              <w:rPr>
                <w:color w:val="999999"/>
              </w:rPr>
              <w:t>—</w:t>
            </w:r>
          </w:p>
        </w:tc>
      </w:tr>
      <w:tr w:rsidR="00957DD9" w14:paraId="33A84185" w14:textId="77777777">
        <w:tblPrEx>
          <w:tblCellMar>
            <w:top w:w="0" w:type="dxa"/>
            <w:bottom w:w="0" w:type="dxa"/>
          </w:tblCellMar>
        </w:tblPrEx>
        <w:tc>
          <w:tcPr>
            <w:tcW w:w="4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77164E8C" w14:textId="77777777" w:rsidR="00957DD9" w:rsidRDefault="00000000">
            <w:r>
              <w:rPr>
                <w:sz w:val="20"/>
                <w:szCs w:val="20"/>
              </w:rPr>
              <w:t>Наявна система підвищення кваліфікації викладачів</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2DD0460C" w14:textId="77777777" w:rsidR="00957DD9" w:rsidRDefault="00000000">
            <w:pPr>
              <w:jc w:val="center"/>
            </w:pPr>
            <w:r>
              <w:rPr>
                <w:b/>
                <w:bCs/>
                <w:color w:val="1A6B3C"/>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2A1C177F" w14:textId="77777777" w:rsidR="00957DD9" w:rsidRDefault="00000000">
            <w:pPr>
              <w:jc w:val="center"/>
            </w:pPr>
            <w:r>
              <w:rPr>
                <w:color w:val="3B2D8F"/>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12BE3483" w14:textId="77777777" w:rsidR="00957DD9" w:rsidRDefault="00000000">
            <w:pPr>
              <w:jc w:val="center"/>
            </w:pPr>
            <w:r>
              <w:rPr>
                <w:color w:val="999999"/>
              </w:rPr>
              <w:t>—</w:t>
            </w:r>
          </w:p>
        </w:tc>
        <w:tc>
          <w:tcPr>
            <w:tcW w:w="12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25F1431C" w14:textId="77777777" w:rsidR="00957DD9" w:rsidRDefault="00000000">
            <w:pPr>
              <w:jc w:val="center"/>
            </w:pPr>
            <w:r>
              <w:rPr>
                <w:color w:val="999999"/>
              </w:rPr>
              <w:t>—</w:t>
            </w:r>
          </w:p>
        </w:tc>
      </w:tr>
      <w:tr w:rsidR="00957DD9" w14:paraId="730A9E7E" w14:textId="77777777">
        <w:tblPrEx>
          <w:tblCellMar>
            <w:top w:w="0" w:type="dxa"/>
            <w:bottom w:w="0" w:type="dxa"/>
          </w:tblCellMar>
        </w:tblPrEx>
        <w:tc>
          <w:tcPr>
            <w:tcW w:w="4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58E65592" w14:textId="77777777" w:rsidR="00957DD9" w:rsidRDefault="00000000">
            <w:r>
              <w:rPr>
                <w:sz w:val="20"/>
                <w:szCs w:val="20"/>
              </w:rPr>
              <w:t>Наявна система заохочення за досягнення у фаховій сфері</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176D9C1B" w14:textId="77777777" w:rsidR="00957DD9" w:rsidRDefault="00000000">
            <w:pPr>
              <w:jc w:val="center"/>
            </w:pPr>
            <w:r>
              <w:rPr>
                <w:color w:val="999999"/>
              </w:rPr>
              <w:t>—</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630A7805" w14:textId="77777777" w:rsidR="00957DD9" w:rsidRDefault="00000000">
            <w:pPr>
              <w:jc w:val="center"/>
            </w:pPr>
            <w:r>
              <w:rPr>
                <w:color w:val="3B2D8F"/>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23AB4B35" w14:textId="77777777" w:rsidR="00957DD9" w:rsidRDefault="00000000">
            <w:pPr>
              <w:jc w:val="center"/>
            </w:pPr>
            <w:r>
              <w:rPr>
                <w:color w:val="B45309"/>
              </w:rPr>
              <w:t>2</w:t>
            </w:r>
          </w:p>
        </w:tc>
        <w:tc>
          <w:tcPr>
            <w:tcW w:w="1226"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7D70FF99" w14:textId="77777777" w:rsidR="00957DD9" w:rsidRDefault="00000000">
            <w:pPr>
              <w:jc w:val="center"/>
            </w:pPr>
            <w:r>
              <w:rPr>
                <w:color w:val="999999"/>
              </w:rPr>
              <w:t>—</w:t>
            </w:r>
          </w:p>
        </w:tc>
      </w:tr>
      <w:tr w:rsidR="00957DD9" w14:paraId="67ADFFB6" w14:textId="77777777">
        <w:tblPrEx>
          <w:tblCellMar>
            <w:top w:w="0" w:type="dxa"/>
            <w:bottom w:w="0" w:type="dxa"/>
          </w:tblCellMar>
        </w:tblPrEx>
        <w:tc>
          <w:tcPr>
            <w:tcW w:w="4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796F4906" w14:textId="77777777" w:rsidR="00957DD9" w:rsidRDefault="00000000">
            <w:r>
              <w:rPr>
                <w:sz w:val="20"/>
                <w:szCs w:val="20"/>
              </w:rPr>
              <w:t>Дотримання академічної свободи при викладанні</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3D5151C2" w14:textId="77777777" w:rsidR="00957DD9" w:rsidRDefault="00000000">
            <w:pPr>
              <w:jc w:val="center"/>
            </w:pPr>
            <w:r>
              <w:rPr>
                <w:b/>
                <w:bCs/>
                <w:color w:val="1A6B3C"/>
              </w:rPr>
              <w:t>2</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73BA4C93" w14:textId="77777777" w:rsidR="00957DD9" w:rsidRDefault="00000000">
            <w:pPr>
              <w:jc w:val="center"/>
            </w:pPr>
            <w:r>
              <w:rPr>
                <w:color w:val="3B2D8F"/>
              </w:rPr>
              <w:t>1</w:t>
            </w:r>
          </w:p>
        </w:tc>
        <w:tc>
          <w:tcPr>
            <w:tcW w:w="12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4D18A015" w14:textId="77777777" w:rsidR="00957DD9" w:rsidRDefault="00000000">
            <w:pPr>
              <w:jc w:val="center"/>
            </w:pPr>
            <w:r>
              <w:rPr>
                <w:color w:val="999999"/>
              </w:rPr>
              <w:t>—</w:t>
            </w:r>
          </w:p>
        </w:tc>
        <w:tc>
          <w:tcPr>
            <w:tcW w:w="12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44C2290F" w14:textId="77777777" w:rsidR="00957DD9" w:rsidRDefault="00000000">
            <w:pPr>
              <w:jc w:val="center"/>
            </w:pPr>
            <w:r>
              <w:rPr>
                <w:color w:val="999999"/>
              </w:rPr>
              <w:t>—</w:t>
            </w:r>
          </w:p>
        </w:tc>
      </w:tr>
    </w:tbl>
    <w:p w14:paraId="1937CC1A" w14:textId="77777777" w:rsidR="00957DD9" w:rsidRDefault="00957DD9">
      <w:pPr>
        <w:spacing w:before="120"/>
      </w:pPr>
    </w:p>
    <w:p w14:paraId="0C9DB2E7" w14:textId="77777777" w:rsidR="00957DD9" w:rsidRDefault="00000000">
      <w:pPr>
        <w:spacing w:before="80" w:after="80"/>
        <w:jc w:val="both"/>
      </w:pPr>
      <w:r>
        <w:t>Коментар до таблиці:</w:t>
      </w:r>
    </w:p>
    <w:p w14:paraId="18E4F6E7" w14:textId="77777777" w:rsidR="00957DD9" w:rsidRDefault="00000000">
      <w:pPr>
        <w:spacing w:before="80" w:after="80"/>
        <w:jc w:val="both"/>
      </w:pPr>
      <w:r>
        <w:rPr>
          <w:b/>
          <w:bCs/>
          <w:color w:val="3B2D8F"/>
        </w:rPr>
        <w:t xml:space="preserve">Позитивні тенденції. </w:t>
      </w:r>
      <w:r>
        <w:t>Найвищі оцінки отримали твердження про відповідність ОПП сучасним тенденціям та потребам ринку праці (по 2 «повністю» + 2 «скоріше згодні»), доступність інформації на сайті університету (2+2), а також дотримання академічної свободи при викладанні (2 «повністю» + 1 «скоріше», і жодної негативної відповіді).</w:t>
      </w:r>
    </w:p>
    <w:p w14:paraId="22E0AB20" w14:textId="77777777" w:rsidR="00957DD9" w:rsidRDefault="00000000">
      <w:pPr>
        <w:spacing w:before="80" w:after="80"/>
        <w:jc w:val="both"/>
      </w:pPr>
      <w:r>
        <w:rPr>
          <w:b/>
          <w:bCs/>
          <w:color w:val="3B2D8F"/>
        </w:rPr>
        <w:t xml:space="preserve">Питання безпеки. </w:t>
      </w:r>
      <w:r>
        <w:t>Твердження про безпечні умови навчання отримало змішану картину: 2 особи «повністю згодні», але інші 2 — «змішана думка / важко відповісти». Ймовірно, це пов'язано із загальною безпековою ситуацією в Україні під час воєнного часу, що виходить за межі впливу університету.</w:t>
      </w:r>
    </w:p>
    <w:p w14:paraId="2011AEBD" w14:textId="77777777" w:rsidR="00957DD9" w:rsidRDefault="00000000">
      <w:pPr>
        <w:spacing w:before="80" w:after="80"/>
        <w:jc w:val="both"/>
      </w:pPr>
      <w:r>
        <w:rPr>
          <w:b/>
          <w:bCs/>
          <w:color w:val="3B2D8F"/>
        </w:rPr>
        <w:t xml:space="preserve">Система заохочення. </w:t>
      </w:r>
      <w:r>
        <w:t xml:space="preserve">Найбільш дискусійне твердження — про систему матеріального заохочення за досягнення у фаховій сфері: </w:t>
      </w:r>
      <w:r w:rsidRPr="00DB74A1">
        <w:rPr>
          <w:color w:val="000000" w:themeColor="text1"/>
        </w:rPr>
        <w:t xml:space="preserve">жоден з 4 викладачів не відповів «повністю згодний», </w:t>
      </w:r>
      <w:r>
        <w:t>2 особи обрали «скоріше згодні», і ще 2 — «змішана думка». Це системна проблема, що повторюється і в опитуванні ССК, і потребує інституційної уваги.</w:t>
      </w:r>
    </w:p>
    <w:p w14:paraId="61694068" w14:textId="77777777" w:rsidR="00957DD9" w:rsidRDefault="00000000">
      <w:pPr>
        <w:spacing w:before="80" w:after="80"/>
        <w:jc w:val="both"/>
      </w:pPr>
      <w:r>
        <w:rPr>
          <w:b/>
          <w:bCs/>
          <w:color w:val="3B2D8F"/>
        </w:rPr>
        <w:t xml:space="preserve">Академічна доброчесність. </w:t>
      </w:r>
      <w:r>
        <w:t>Тут також є певна неоднозначність: лише 1 особа «повністю згодна» з нульовою толерантністю до порушень, 2 — «скоріше згодні», 1 — «змішана думка». Хоча загальна позиція позитивна, наявність «змішаної» відповіді варта уваги.</w:t>
      </w:r>
    </w:p>
    <w:p w14:paraId="1DD8B504" w14:textId="77777777" w:rsidR="00957DD9" w:rsidRDefault="00957DD9">
      <w:pPr>
        <w:spacing w:before="120"/>
      </w:pPr>
    </w:p>
    <w:p w14:paraId="1DA52F20" w14:textId="77777777" w:rsidR="00957DD9" w:rsidRDefault="00000000">
      <w:pPr>
        <w:pStyle w:val="1"/>
      </w:pPr>
      <w:r>
        <w:t>5. Методи викладання та канали комунікації</w:t>
      </w:r>
    </w:p>
    <w:p w14:paraId="650D9BD7" w14:textId="77777777" w:rsidR="00957DD9" w:rsidRDefault="00000000">
      <w:pPr>
        <w:pStyle w:val="2"/>
      </w:pPr>
      <w:r>
        <w:t>5.1. Педагогічні підходи</w:t>
      </w:r>
    </w:p>
    <w:p w14:paraId="5620704E" w14:textId="77777777" w:rsidR="00957DD9" w:rsidRDefault="00000000">
      <w:pPr>
        <w:spacing w:before="80" w:after="80"/>
        <w:jc w:val="both"/>
      </w:pPr>
      <w:r>
        <w:t>За відповідями викладачів, у програмі «Цифровий соціум» застосовується широкий спектр педагогічних підходів, зокрема:</w:t>
      </w:r>
    </w:p>
    <w:p w14:paraId="35813B13" w14:textId="77777777" w:rsidR="00957DD9" w:rsidRDefault="00000000">
      <w:pPr>
        <w:pStyle w:val="a4"/>
        <w:numPr>
          <w:ilvl w:val="0"/>
          <w:numId w:val="2"/>
        </w:numPr>
        <w:spacing w:before="40" w:after="40"/>
      </w:pPr>
      <w:r>
        <w:t>пояснювально-ілюстративний метод та проблемне викладання (problem-based learning)</w:t>
      </w:r>
    </w:p>
    <w:p w14:paraId="39C42078" w14:textId="77777777" w:rsidR="00957DD9" w:rsidRDefault="00000000">
      <w:pPr>
        <w:pStyle w:val="a4"/>
        <w:numPr>
          <w:ilvl w:val="0"/>
          <w:numId w:val="2"/>
        </w:numPr>
        <w:spacing w:before="40" w:after="40"/>
      </w:pPr>
      <w:r>
        <w:t>дослідницький і частково-пошуковий методи</w:t>
      </w:r>
    </w:p>
    <w:p w14:paraId="341E69E5" w14:textId="77777777" w:rsidR="00957DD9" w:rsidRDefault="00000000">
      <w:pPr>
        <w:pStyle w:val="a4"/>
        <w:numPr>
          <w:ilvl w:val="0"/>
          <w:numId w:val="2"/>
        </w:numPr>
        <w:spacing w:before="40" w:after="40"/>
      </w:pPr>
      <w:r>
        <w:t>інтерактивна лекція та дискусія</w:t>
      </w:r>
    </w:p>
    <w:p w14:paraId="0DD148EA" w14:textId="77777777" w:rsidR="00957DD9" w:rsidRDefault="00000000">
      <w:pPr>
        <w:pStyle w:val="a4"/>
        <w:numPr>
          <w:ilvl w:val="0"/>
          <w:numId w:val="2"/>
        </w:numPr>
        <w:spacing w:before="40" w:after="40"/>
      </w:pPr>
      <w:r>
        <w:t>нейромережеве моделювання</w:t>
      </w:r>
    </w:p>
    <w:p w14:paraId="30E700DE" w14:textId="77777777" w:rsidR="00957DD9" w:rsidRDefault="00000000">
      <w:pPr>
        <w:pStyle w:val="a4"/>
        <w:numPr>
          <w:ilvl w:val="0"/>
          <w:numId w:val="2"/>
        </w:numPr>
        <w:spacing w:before="40" w:after="40"/>
      </w:pPr>
      <w:r>
        <w:lastRenderedPageBreak/>
        <w:t>міні-дослідницькі проєкти та рецензування студентських робіт</w:t>
      </w:r>
    </w:p>
    <w:p w14:paraId="2918FF8B" w14:textId="77777777" w:rsidR="00957DD9" w:rsidRDefault="00000000">
      <w:pPr>
        <w:pStyle w:val="a4"/>
        <w:numPr>
          <w:ilvl w:val="0"/>
          <w:numId w:val="2"/>
        </w:numPr>
        <w:spacing w:before="40" w:after="40"/>
      </w:pPr>
      <w:r>
        <w:t>практичні та інтерактивні вправи</w:t>
      </w:r>
    </w:p>
    <w:p w14:paraId="3F10487E" w14:textId="77777777" w:rsidR="00957DD9" w:rsidRDefault="00957DD9">
      <w:pPr>
        <w:spacing w:before="80"/>
      </w:pPr>
    </w:p>
    <w:p w14:paraId="6EB9F12C" w14:textId="77777777" w:rsidR="00957DD9" w:rsidRDefault="00000000">
      <w:pPr>
        <w:spacing w:before="80" w:after="80"/>
        <w:jc w:val="both"/>
      </w:pPr>
      <w:r>
        <w:t xml:space="preserve">Такий діапазон методів демонструє методичну різноманітність кафедри. Разом з тим кілька викладачів у відкритих відповідях акцентували на необхідності </w:t>
      </w:r>
      <w:r>
        <w:rPr>
          <w:b/>
          <w:bCs/>
          <w:color w:val="1A1040"/>
        </w:rPr>
        <w:t>більшого зв'язку з практикою</w:t>
      </w:r>
      <w:r>
        <w:t xml:space="preserve"> — залученні галузевих фахівців та реальних кейсів з IT-ринку (розробка, UI/UX, проджект-менеджмент).</w:t>
      </w:r>
    </w:p>
    <w:p w14:paraId="6E66184C" w14:textId="77777777" w:rsidR="00957DD9" w:rsidRDefault="00000000">
      <w:pPr>
        <w:pStyle w:val="2"/>
      </w:pPr>
      <w:r>
        <w:t>5.2. Канали комунікації зі студентами</w:t>
      </w:r>
    </w:p>
    <w:p w14:paraId="5DBF0A6D" w14:textId="77777777" w:rsidR="00957DD9" w:rsidRDefault="00000000">
      <w:pPr>
        <w:spacing w:before="80" w:after="80"/>
        <w:jc w:val="both"/>
      </w:pPr>
      <w:r>
        <w:t>Для повідомлення студентів про навчальні матеріали та завдання викладачі використовують:</w:t>
      </w:r>
    </w:p>
    <w:p w14:paraId="04FFEA51" w14:textId="77777777" w:rsidR="00957DD9" w:rsidRDefault="00000000">
      <w:pPr>
        <w:pStyle w:val="a4"/>
        <w:numPr>
          <w:ilvl w:val="0"/>
          <w:numId w:val="2"/>
        </w:numPr>
        <w:spacing w:before="40" w:after="40"/>
      </w:pPr>
      <w:r>
        <w:t>Moodle — усі 4 викладачі</w:t>
      </w:r>
    </w:p>
    <w:p w14:paraId="68CCDC6C" w14:textId="77777777" w:rsidR="00957DD9" w:rsidRDefault="00000000">
      <w:pPr>
        <w:pStyle w:val="a4"/>
        <w:numPr>
          <w:ilvl w:val="0"/>
          <w:numId w:val="2"/>
        </w:numPr>
        <w:spacing w:before="40" w:after="40"/>
      </w:pPr>
      <w:r>
        <w:t>усне повідомлення на занятті — усі 4 викладачі</w:t>
      </w:r>
    </w:p>
    <w:p w14:paraId="16310184" w14:textId="77777777" w:rsidR="00957DD9" w:rsidRDefault="00000000">
      <w:pPr>
        <w:pStyle w:val="a4"/>
        <w:numPr>
          <w:ilvl w:val="0"/>
          <w:numId w:val="2"/>
        </w:numPr>
        <w:spacing w:before="40" w:after="40"/>
      </w:pPr>
      <w:r>
        <w:t>месенджери (Telegram / Viber) — 3 з 4</w:t>
      </w:r>
    </w:p>
    <w:p w14:paraId="7113D61A" w14:textId="77777777" w:rsidR="00957DD9" w:rsidRDefault="00000000">
      <w:pPr>
        <w:pStyle w:val="a4"/>
        <w:numPr>
          <w:ilvl w:val="0"/>
          <w:numId w:val="2"/>
        </w:numPr>
        <w:spacing w:before="40" w:after="40"/>
      </w:pPr>
      <w:r>
        <w:t>Google Classroom — 2 з 4</w:t>
      </w:r>
    </w:p>
    <w:p w14:paraId="2109A9A5" w14:textId="77777777" w:rsidR="00957DD9" w:rsidRDefault="00000000">
      <w:pPr>
        <w:pStyle w:val="a4"/>
        <w:numPr>
          <w:ilvl w:val="0"/>
          <w:numId w:val="2"/>
        </w:numPr>
        <w:spacing w:before="40" w:after="40"/>
      </w:pPr>
      <w:r>
        <w:t>сайт ННІ / кафедри — 1 з 4</w:t>
      </w:r>
    </w:p>
    <w:p w14:paraId="0ABDDEB5" w14:textId="77777777" w:rsidR="00957DD9" w:rsidRDefault="00957DD9">
      <w:pPr>
        <w:spacing w:before="80"/>
      </w:pPr>
    </w:p>
    <w:p w14:paraId="31158F56" w14:textId="77777777" w:rsidR="00957DD9" w:rsidRDefault="00000000">
      <w:pPr>
        <w:spacing w:before="80" w:after="80"/>
        <w:jc w:val="both"/>
      </w:pPr>
      <w:r>
        <w:t xml:space="preserve">Moodle та безпосередня усна комунікація є </w:t>
      </w:r>
      <w:r>
        <w:rPr>
          <w:b/>
          <w:bCs/>
          <w:color w:val="3B2D8F"/>
        </w:rPr>
        <w:t>домінуючими каналами</w:t>
      </w:r>
      <w:r>
        <w:t>. Месенджери виступають важливим додатковим засобом. Google Classroom використовується лише половиною викладачів, що може свідчити про відсутність єдиного стандарту щодо платформ, або про паралельне використання різних систем управління навчанням.</w:t>
      </w:r>
    </w:p>
    <w:p w14:paraId="232897F5" w14:textId="77777777" w:rsidR="00957DD9" w:rsidRDefault="00957DD9">
      <w:pPr>
        <w:spacing w:before="120"/>
      </w:pPr>
    </w:p>
    <w:p w14:paraId="675A50F1" w14:textId="77777777" w:rsidR="00957DD9" w:rsidRDefault="00000000">
      <w:pPr>
        <w:pStyle w:val="1"/>
      </w:pPr>
      <w:r>
        <w:t>6. Пропозиції викладачів щодо вдосконалення ОПП</w:t>
      </w:r>
    </w:p>
    <w:p w14:paraId="0EE01D92" w14:textId="77777777" w:rsidR="00957DD9" w:rsidRDefault="00000000">
      <w:pPr>
        <w:spacing w:before="80" w:after="80"/>
        <w:jc w:val="both"/>
      </w:pPr>
      <w:r>
        <w:t>У відкритих відповідях викладачі сформулювали такі пропозиції (упорядковано за кількістю згадок):</w:t>
      </w:r>
    </w:p>
    <w:p w14:paraId="46DB32B8" w14:textId="77777777" w:rsidR="00957DD9" w:rsidRDefault="00957DD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26"/>
        <w:gridCol w:w="1600"/>
      </w:tblGrid>
      <w:tr w:rsidR="00957DD9" w14:paraId="10AC9890" w14:textId="77777777">
        <w:tblPrEx>
          <w:tblCellMar>
            <w:top w:w="0" w:type="dxa"/>
            <w:bottom w:w="0" w:type="dxa"/>
          </w:tblCellMar>
        </w:tblPrEx>
        <w:trPr>
          <w:tblHeader/>
        </w:trPr>
        <w:tc>
          <w:tcPr>
            <w:tcW w:w="7426" w:type="dxa"/>
            <w:tcBorders>
              <w:top w:val="single" w:sz="1" w:space="0" w:color="C5C0E0"/>
              <w:left w:val="single" w:sz="1" w:space="0" w:color="C5C0E0"/>
              <w:bottom w:val="single" w:sz="1" w:space="0" w:color="C5C0E0"/>
              <w:right w:val="single" w:sz="1" w:space="0" w:color="C5C0E0"/>
            </w:tcBorders>
            <w:shd w:val="clear" w:color="auto" w:fill="3B2D8F"/>
            <w:tcMar>
              <w:top w:w="80" w:type="dxa"/>
              <w:left w:w="120" w:type="dxa"/>
              <w:bottom w:w="80" w:type="dxa"/>
              <w:right w:w="120" w:type="dxa"/>
            </w:tcMar>
            <w:vAlign w:val="center"/>
          </w:tcPr>
          <w:p w14:paraId="62359E06" w14:textId="77777777" w:rsidR="00957DD9" w:rsidRDefault="00000000">
            <w:pPr>
              <w:jc w:val="center"/>
            </w:pPr>
            <w:r>
              <w:rPr>
                <w:b/>
                <w:bCs/>
                <w:color w:val="FFFFFF"/>
                <w:sz w:val="20"/>
                <w:szCs w:val="20"/>
              </w:rPr>
              <w:t>Пропозиція</w:t>
            </w:r>
          </w:p>
        </w:tc>
        <w:tc>
          <w:tcPr>
            <w:tcW w:w="1600" w:type="dxa"/>
            <w:tcBorders>
              <w:top w:val="single" w:sz="1" w:space="0" w:color="C5C0E0"/>
              <w:left w:val="single" w:sz="1" w:space="0" w:color="C5C0E0"/>
              <w:bottom w:val="single" w:sz="1" w:space="0" w:color="C5C0E0"/>
              <w:right w:val="single" w:sz="1" w:space="0" w:color="C5C0E0"/>
            </w:tcBorders>
            <w:shd w:val="clear" w:color="auto" w:fill="3B2D8F"/>
            <w:tcMar>
              <w:top w:w="80" w:type="dxa"/>
              <w:left w:w="120" w:type="dxa"/>
              <w:bottom w:w="80" w:type="dxa"/>
              <w:right w:w="120" w:type="dxa"/>
            </w:tcMar>
            <w:vAlign w:val="center"/>
          </w:tcPr>
          <w:p w14:paraId="3DFC3C93" w14:textId="77777777" w:rsidR="00957DD9" w:rsidRDefault="00000000">
            <w:pPr>
              <w:jc w:val="center"/>
            </w:pPr>
            <w:r>
              <w:rPr>
                <w:b/>
                <w:bCs/>
                <w:color w:val="FFFFFF"/>
                <w:sz w:val="20"/>
                <w:szCs w:val="20"/>
              </w:rPr>
              <w:t>Кількість згадок (з 4)</w:t>
            </w:r>
          </w:p>
        </w:tc>
      </w:tr>
      <w:tr w:rsidR="00957DD9" w14:paraId="34B895D9"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486598E4" w14:textId="77777777" w:rsidR="00957DD9" w:rsidRDefault="00000000">
            <w:r>
              <w:rPr>
                <w:sz w:val="20"/>
                <w:szCs w:val="20"/>
              </w:rPr>
              <w:t>Залучати більше фахівців-практиків до викладання</w:t>
            </w:r>
          </w:p>
        </w:tc>
        <w:tc>
          <w:tcPr>
            <w:tcW w:w="16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7CA72EBA" w14:textId="77777777" w:rsidR="00957DD9" w:rsidRDefault="00000000">
            <w:pPr>
              <w:jc w:val="center"/>
            </w:pPr>
            <w:r>
              <w:rPr>
                <w:b/>
                <w:bCs/>
                <w:color w:val="3B2D8F"/>
              </w:rPr>
              <w:t>3</w:t>
            </w:r>
          </w:p>
        </w:tc>
      </w:tr>
      <w:tr w:rsidR="00957DD9" w14:paraId="504928AB"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28597E79" w14:textId="77777777" w:rsidR="00957DD9" w:rsidRDefault="00000000">
            <w:r>
              <w:rPr>
                <w:sz w:val="20"/>
                <w:szCs w:val="20"/>
              </w:rPr>
              <w:t>Посилити орієнтацію ОПП на міжнародному ринку праці</w:t>
            </w:r>
          </w:p>
        </w:tc>
        <w:tc>
          <w:tcPr>
            <w:tcW w:w="16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0C55BD3B" w14:textId="77777777" w:rsidR="00957DD9" w:rsidRDefault="00000000">
            <w:pPr>
              <w:jc w:val="center"/>
            </w:pPr>
            <w:r>
              <w:rPr>
                <w:b/>
                <w:bCs/>
                <w:color w:val="3B2D8F"/>
              </w:rPr>
              <w:t>3</w:t>
            </w:r>
          </w:p>
        </w:tc>
      </w:tr>
      <w:tr w:rsidR="00957DD9" w14:paraId="5E7D48BC"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21AA16B8" w14:textId="77777777" w:rsidR="00957DD9" w:rsidRDefault="00000000">
            <w:r>
              <w:rPr>
                <w:sz w:val="20"/>
                <w:szCs w:val="20"/>
              </w:rPr>
              <w:t>Посилити міждисциплінарну спрямованість ОПП</w:t>
            </w:r>
          </w:p>
        </w:tc>
        <w:tc>
          <w:tcPr>
            <w:tcW w:w="16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15364838" w14:textId="77777777" w:rsidR="00957DD9" w:rsidRDefault="00000000">
            <w:pPr>
              <w:jc w:val="center"/>
            </w:pPr>
            <w:r>
              <w:rPr>
                <w:b/>
                <w:bCs/>
                <w:color w:val="3B2D8F"/>
              </w:rPr>
              <w:t>3</w:t>
            </w:r>
          </w:p>
        </w:tc>
      </w:tr>
      <w:tr w:rsidR="00957DD9" w14:paraId="030AD2D6"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075C3D93" w14:textId="77777777" w:rsidR="00957DD9" w:rsidRDefault="00000000">
            <w:r>
              <w:rPr>
                <w:sz w:val="20"/>
                <w:szCs w:val="20"/>
              </w:rPr>
              <w:t>Більше практичних занять у навчальному процесі</w:t>
            </w:r>
          </w:p>
        </w:tc>
        <w:tc>
          <w:tcPr>
            <w:tcW w:w="16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78B2EBBE" w14:textId="77777777" w:rsidR="00957DD9" w:rsidRDefault="00000000">
            <w:pPr>
              <w:jc w:val="center"/>
            </w:pPr>
            <w:r>
              <w:t>2</w:t>
            </w:r>
          </w:p>
        </w:tc>
      </w:tr>
      <w:tr w:rsidR="00957DD9" w14:paraId="4EEEB707"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51470421" w14:textId="77777777" w:rsidR="00957DD9" w:rsidRDefault="00000000">
            <w:r>
              <w:rPr>
                <w:sz w:val="20"/>
                <w:szCs w:val="20"/>
              </w:rPr>
              <w:t>Більше інтерактивних методів викладання</w:t>
            </w:r>
          </w:p>
        </w:tc>
        <w:tc>
          <w:tcPr>
            <w:tcW w:w="16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2C763C29" w14:textId="77777777" w:rsidR="00957DD9" w:rsidRDefault="00000000">
            <w:pPr>
              <w:jc w:val="center"/>
            </w:pPr>
            <w:r>
              <w:t>2</w:t>
            </w:r>
          </w:p>
        </w:tc>
      </w:tr>
      <w:tr w:rsidR="00957DD9" w14:paraId="74C7ABF1"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36F061FB" w14:textId="77777777" w:rsidR="00957DD9" w:rsidRDefault="00000000">
            <w:r>
              <w:rPr>
                <w:sz w:val="20"/>
                <w:szCs w:val="20"/>
              </w:rPr>
              <w:t>Надати студентам можливість обирати індивідуальну програму</w:t>
            </w:r>
          </w:p>
        </w:tc>
        <w:tc>
          <w:tcPr>
            <w:tcW w:w="16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3EEBBD3D" w14:textId="77777777" w:rsidR="00957DD9" w:rsidRDefault="00000000">
            <w:pPr>
              <w:jc w:val="center"/>
            </w:pPr>
            <w:r>
              <w:t>2</w:t>
            </w:r>
          </w:p>
        </w:tc>
      </w:tr>
      <w:tr w:rsidR="00957DD9" w14:paraId="17382BFC"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2B1C3423" w14:textId="77777777" w:rsidR="00957DD9" w:rsidRDefault="00000000">
            <w:r>
              <w:rPr>
                <w:sz w:val="20"/>
                <w:szCs w:val="20"/>
              </w:rPr>
              <w:t>Підвищити вимоги до знань іноземної мови</w:t>
            </w:r>
          </w:p>
        </w:tc>
        <w:tc>
          <w:tcPr>
            <w:tcW w:w="16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7408F8A8" w14:textId="77777777" w:rsidR="00957DD9" w:rsidRDefault="00000000">
            <w:pPr>
              <w:jc w:val="center"/>
            </w:pPr>
            <w:r>
              <w:t>1</w:t>
            </w:r>
          </w:p>
        </w:tc>
      </w:tr>
      <w:tr w:rsidR="00957DD9" w14:paraId="495BE171"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60FC2C0D" w14:textId="77777777" w:rsidR="00957DD9" w:rsidRDefault="00000000">
            <w:r>
              <w:rPr>
                <w:sz w:val="20"/>
                <w:szCs w:val="20"/>
              </w:rPr>
              <w:t>Більше сучасних ІТ у викладанні</w:t>
            </w:r>
          </w:p>
        </w:tc>
        <w:tc>
          <w:tcPr>
            <w:tcW w:w="16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4532CFD4" w14:textId="77777777" w:rsidR="00957DD9" w:rsidRDefault="00000000">
            <w:pPr>
              <w:jc w:val="center"/>
            </w:pPr>
            <w:r>
              <w:t>1</w:t>
            </w:r>
          </w:p>
        </w:tc>
      </w:tr>
      <w:tr w:rsidR="00957DD9" w14:paraId="6A6D970D"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64E47554" w14:textId="77777777" w:rsidR="00957DD9" w:rsidRDefault="00000000">
            <w:r>
              <w:rPr>
                <w:sz w:val="20"/>
                <w:szCs w:val="20"/>
              </w:rPr>
              <w:t>Залучати фахівців/випускників до перегляду ОПП</w:t>
            </w:r>
          </w:p>
        </w:tc>
        <w:tc>
          <w:tcPr>
            <w:tcW w:w="1600" w:type="dxa"/>
            <w:tcBorders>
              <w:top w:val="single" w:sz="1" w:space="0" w:color="C5C0E0"/>
              <w:left w:val="single" w:sz="1" w:space="0" w:color="C5C0E0"/>
              <w:bottom w:val="single" w:sz="1" w:space="0" w:color="C5C0E0"/>
              <w:right w:val="single" w:sz="1" w:space="0" w:color="C5C0E0"/>
            </w:tcBorders>
            <w:shd w:val="clear" w:color="auto" w:fill="F4F3FA"/>
            <w:tcMar>
              <w:top w:w="80" w:type="dxa"/>
              <w:left w:w="120" w:type="dxa"/>
              <w:bottom w:w="80" w:type="dxa"/>
              <w:right w:w="120" w:type="dxa"/>
            </w:tcMar>
            <w:vAlign w:val="center"/>
          </w:tcPr>
          <w:p w14:paraId="2B760A15" w14:textId="77777777" w:rsidR="00957DD9" w:rsidRDefault="00000000">
            <w:pPr>
              <w:jc w:val="center"/>
            </w:pPr>
            <w:r>
              <w:t>1</w:t>
            </w:r>
          </w:p>
        </w:tc>
      </w:tr>
      <w:tr w:rsidR="00957DD9" w14:paraId="7BEF96C2" w14:textId="77777777">
        <w:tblPrEx>
          <w:tblCellMar>
            <w:top w:w="0" w:type="dxa"/>
            <w:bottom w:w="0" w:type="dxa"/>
          </w:tblCellMar>
        </w:tblPrEx>
        <w:tc>
          <w:tcPr>
            <w:tcW w:w="7426"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0948BC3F" w14:textId="77777777" w:rsidR="00957DD9" w:rsidRDefault="00000000">
            <w:r>
              <w:rPr>
                <w:sz w:val="20"/>
                <w:szCs w:val="20"/>
              </w:rPr>
              <w:t>Активніше застосовувати онлайн-середовища (Classroom/Moodle)</w:t>
            </w:r>
          </w:p>
        </w:tc>
        <w:tc>
          <w:tcPr>
            <w:tcW w:w="1600" w:type="dxa"/>
            <w:tcBorders>
              <w:top w:val="single" w:sz="1" w:space="0" w:color="C5C0E0"/>
              <w:left w:val="single" w:sz="1" w:space="0" w:color="C5C0E0"/>
              <w:bottom w:val="single" w:sz="1" w:space="0" w:color="C5C0E0"/>
              <w:right w:val="single" w:sz="1" w:space="0" w:color="C5C0E0"/>
            </w:tcBorders>
            <w:shd w:val="clear" w:color="auto" w:fill="FFFFFF"/>
            <w:tcMar>
              <w:top w:w="80" w:type="dxa"/>
              <w:left w:w="120" w:type="dxa"/>
              <w:bottom w:w="80" w:type="dxa"/>
              <w:right w:w="120" w:type="dxa"/>
            </w:tcMar>
            <w:vAlign w:val="center"/>
          </w:tcPr>
          <w:p w14:paraId="466A6D4A" w14:textId="77777777" w:rsidR="00957DD9" w:rsidRDefault="00000000">
            <w:pPr>
              <w:jc w:val="center"/>
            </w:pPr>
            <w:r>
              <w:t>1</w:t>
            </w:r>
          </w:p>
        </w:tc>
      </w:tr>
    </w:tbl>
    <w:p w14:paraId="31777961" w14:textId="77777777" w:rsidR="00957DD9" w:rsidRDefault="00957DD9">
      <w:pPr>
        <w:spacing w:before="120"/>
      </w:pPr>
    </w:p>
    <w:p w14:paraId="4F783D1A" w14:textId="77777777" w:rsidR="00957DD9" w:rsidRDefault="00000000">
      <w:pPr>
        <w:spacing w:before="80" w:after="80"/>
        <w:jc w:val="both"/>
      </w:pPr>
      <w:r>
        <w:lastRenderedPageBreak/>
        <w:t xml:space="preserve">Примітно, що три пропозиції </w:t>
      </w:r>
      <w:r>
        <w:rPr>
          <w:b/>
          <w:bCs/>
          <w:color w:val="3B2D8F"/>
        </w:rPr>
        <w:t>отримали однакову підтримку — по 3 з 4 викладачів</w:t>
      </w:r>
      <w:r>
        <w:t xml:space="preserve">: залучення практиків, міжнародна орієнтація та міждисциплінарність. Усі три стосуються </w:t>
      </w:r>
      <w:r>
        <w:rPr>
          <w:b/>
          <w:bCs/>
          <w:color w:val="1A1040"/>
        </w:rPr>
        <w:t>зовнішньої відкритості програми</w:t>
      </w:r>
      <w:r>
        <w:t xml:space="preserve"> — її зв'язку з реальним ринком, міжнародним контекстом і суміжними галузями. Це відображає усвідомлення викладачами того, що цифровий соціум як предметна сфера потребує постійного оновлення через зовнішні партнерства.</w:t>
      </w:r>
    </w:p>
    <w:p w14:paraId="1C3F8FF1" w14:textId="77777777" w:rsidR="00957DD9" w:rsidRDefault="00957DD9">
      <w:pPr>
        <w:spacing w:before="120"/>
      </w:pPr>
    </w:p>
    <w:p w14:paraId="4D81CAFF" w14:textId="77777777" w:rsidR="00957DD9" w:rsidRDefault="00000000">
      <w:pPr>
        <w:pStyle w:val="1"/>
      </w:pPr>
      <w:r>
        <w:t>7. Основні висновки</w:t>
      </w:r>
    </w:p>
    <w:p w14:paraId="07556631" w14:textId="77777777" w:rsidR="00957DD9" w:rsidRDefault="00000000">
      <w:pPr>
        <w:spacing w:before="80" w:after="80"/>
        <w:jc w:val="both"/>
      </w:pPr>
      <w:r>
        <w:rPr>
          <w:b/>
          <w:bCs/>
          <w:color w:val="3B2D8F"/>
        </w:rPr>
        <w:t xml:space="preserve">7.1. Загальна оцінка програми — позитивна. </w:t>
      </w:r>
      <w:r>
        <w:t>Більшість тверджень щодо якості освітнього процесу отримали відповіді «повністю» або «скоріше згодні». Викладачі загалом позитивно оцінюють відповідність ОПП «Цифровий соціум» сучасним тенденціям та потребам ринку праці, достатність аудиторного навантаження та академічну свободу.</w:t>
      </w:r>
    </w:p>
    <w:p w14:paraId="723E1933" w14:textId="77777777" w:rsidR="00957DD9" w:rsidRDefault="00000000">
      <w:pPr>
        <w:spacing w:before="80" w:after="80"/>
        <w:jc w:val="both"/>
      </w:pPr>
      <w:r>
        <w:rPr>
          <w:b/>
          <w:bCs/>
          <w:color w:val="3B2D8F"/>
        </w:rPr>
        <w:t xml:space="preserve">7.2. Доступ до міжнародних ресурсів — критична прогалина. </w:t>
      </w:r>
      <w:r>
        <w:t>Лише 1 з 4 викладачів має повний доступ до міжнародних наукових баз даних. Для програми з цифровою спрямованістю це суттєвий структурний недолік, який безпосередньо впливає на актуальність навчальних матеріалів і наукову активність.</w:t>
      </w:r>
    </w:p>
    <w:p w14:paraId="5359AA98" w14:textId="77777777" w:rsidR="00957DD9" w:rsidRDefault="00000000">
      <w:pPr>
        <w:spacing w:before="80" w:after="80"/>
        <w:jc w:val="both"/>
      </w:pPr>
      <w:r>
        <w:rPr>
          <w:b/>
          <w:bCs/>
          <w:color w:val="3B2D8F"/>
        </w:rPr>
        <w:t xml:space="preserve">7.3. Система заохочення потребує уваги. </w:t>
      </w:r>
      <w:r>
        <w:t>Жоден із 4 викладачів не погодився повністю з твердженням про наявність ефективної системи заохочення за фахові досягнення. Ця проблема є системною й повторюється у відповідях викладачів ССК — вона виходить за межі окремої програми і потребує рішень на рівні університету.</w:t>
      </w:r>
    </w:p>
    <w:p w14:paraId="31F266CE" w14:textId="77777777" w:rsidR="00957DD9" w:rsidRDefault="00000000">
      <w:pPr>
        <w:spacing w:before="80" w:after="80"/>
        <w:jc w:val="both"/>
      </w:pPr>
      <w:r>
        <w:rPr>
          <w:b/>
          <w:bCs/>
          <w:color w:val="3B2D8F"/>
        </w:rPr>
        <w:t xml:space="preserve">7.4. Запит на зовнішню відкритість програми. </w:t>
      </w:r>
      <w:r>
        <w:t>Три чверті викладачів (3 з 4) окремо наголошують на необхідності залучення практиків, посилення міжнародної орієнтації та міждисциплінарних зв'язків. Ці запити можна реалізувати через запрошених лекторів, партнерства з IT-компаніями та участь у міжнародних мережах.</w:t>
      </w:r>
    </w:p>
    <w:p w14:paraId="3B5EC1A8" w14:textId="77777777" w:rsidR="00957DD9" w:rsidRDefault="00000000">
      <w:pPr>
        <w:spacing w:before="80" w:after="80"/>
        <w:jc w:val="both"/>
      </w:pPr>
      <w:r>
        <w:rPr>
          <w:b/>
          <w:bCs/>
          <w:color w:val="3B2D8F"/>
        </w:rPr>
        <w:t xml:space="preserve">7.5. Методичний потенціал є. </w:t>
      </w:r>
      <w:r>
        <w:t>Педагогічні підходи, що застосовуються, є різноманітними та сучасними. Водночас подальше підсилення практичного компоненту та більш активне використання єдиної платформи управління навчанням (Moodle) сприятиме кращій організації навчального процесу.</w:t>
      </w:r>
    </w:p>
    <w:p w14:paraId="3D38152F" w14:textId="77777777" w:rsidR="00957DD9" w:rsidRDefault="00957DD9">
      <w:pPr>
        <w:spacing w:before="160"/>
      </w:pPr>
    </w:p>
    <w:p w14:paraId="2B918D08" w14:textId="77777777" w:rsidR="00957DD9" w:rsidRDefault="00957DD9">
      <w:pPr>
        <w:pBdr>
          <w:bottom w:val="single" w:sz="6" w:space="1" w:color="3B2D8F"/>
        </w:pBdr>
      </w:pPr>
    </w:p>
    <w:p w14:paraId="09DC4766" w14:textId="77777777" w:rsidR="00957DD9" w:rsidRDefault="00957DD9">
      <w:pPr>
        <w:spacing w:before="100"/>
      </w:pPr>
    </w:p>
    <w:p w14:paraId="62ABBF36" w14:textId="77777777" w:rsidR="00957DD9" w:rsidRDefault="00000000">
      <w:pPr>
        <w:spacing w:before="60" w:after="60"/>
      </w:pPr>
      <w:r>
        <w:rPr>
          <w:b/>
          <w:bCs/>
          <w:i/>
          <w:iCs/>
          <w:color w:val="1A1040"/>
          <w:sz w:val="20"/>
          <w:szCs w:val="20"/>
        </w:rPr>
        <w:t>Методологічна нотатка</w:t>
      </w:r>
    </w:p>
    <w:p w14:paraId="71D36C6E" w14:textId="77777777" w:rsidR="00957DD9" w:rsidRDefault="00000000">
      <w:pPr>
        <w:spacing w:after="40"/>
      </w:pPr>
      <w:r>
        <w:rPr>
          <w:i/>
          <w:iCs/>
          <w:color w:val="777777"/>
          <w:sz w:val="18"/>
          <w:szCs w:val="18"/>
        </w:rPr>
        <w:t>Метод: онлайн-анкетування (Google Forms). Цільова аудиторія: викладачі ОПП «Цифровий соціум». Вибірка: суцільна, n=4 (3 професори, 1 доцент; 1 — зовнішній сумісник). Анкета: 24 питання — профіль, організація навчального процесу, шкала згоди (9 тверджень), відкриті питання. Обробка: дескриптивний аналіз, абсолютні частоти (без відсоткових показників через малий обсяг вибірки).</w:t>
      </w:r>
    </w:p>
    <w:sectPr w:rsidR="00957DD9">
      <w:headerReference w:type="default" r:id="rId7"/>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C321" w14:textId="77777777" w:rsidR="006909EC" w:rsidRDefault="006909EC">
      <w:r>
        <w:separator/>
      </w:r>
    </w:p>
  </w:endnote>
  <w:endnote w:type="continuationSeparator" w:id="0">
    <w:p w14:paraId="030F59E0" w14:textId="77777777" w:rsidR="006909EC" w:rsidRDefault="0069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D421" w14:textId="77777777" w:rsidR="006909EC" w:rsidRDefault="006909EC">
      <w:r>
        <w:separator/>
      </w:r>
    </w:p>
  </w:footnote>
  <w:footnote w:type="continuationSeparator" w:id="0">
    <w:p w14:paraId="4BD3FB85" w14:textId="77777777" w:rsidR="006909EC" w:rsidRDefault="0069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3FCA" w14:textId="77777777" w:rsidR="00957DD9" w:rsidRDefault="00000000">
    <w:pPr>
      <w:pBdr>
        <w:bottom w:val="single" w:sz="4" w:space="1" w:color="C4BCE8"/>
      </w:pBdr>
      <w:tabs>
        <w:tab w:val="right" w:pos="9026"/>
      </w:tabs>
      <w:spacing w:after="60"/>
    </w:pPr>
    <w:r>
      <w:rPr>
        <w:color w:val="888888"/>
        <w:sz w:val="18"/>
        <w:szCs w:val="18"/>
      </w:rPr>
      <w:t>ОПП «Цифровий соціум» · Опитування викладачів · 2026</w:t>
    </w:r>
    <w:r>
      <w:rPr>
        <w:sz w:val="18"/>
        <w:szCs w:val="18"/>
      </w:rPr>
      <w:tab/>
    </w:r>
    <w:r>
      <w:rPr>
        <w:color w:val="888888"/>
        <w:sz w:val="18"/>
        <w:szCs w:val="18"/>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732F4"/>
    <w:multiLevelType w:val="hybridMultilevel"/>
    <w:tmpl w:val="1034FE70"/>
    <w:lvl w:ilvl="0" w:tplc="B78CF244">
      <w:start w:val="1"/>
      <w:numFmt w:val="bullet"/>
      <w:lvlText w:val="–"/>
      <w:lvlJc w:val="left"/>
      <w:pPr>
        <w:ind w:left="540" w:hanging="360"/>
      </w:pPr>
    </w:lvl>
    <w:lvl w:ilvl="1" w:tplc="C4B871D0">
      <w:numFmt w:val="decimal"/>
      <w:lvlText w:val=""/>
      <w:lvlJc w:val="left"/>
    </w:lvl>
    <w:lvl w:ilvl="2" w:tplc="A9722D4C">
      <w:numFmt w:val="decimal"/>
      <w:lvlText w:val=""/>
      <w:lvlJc w:val="left"/>
    </w:lvl>
    <w:lvl w:ilvl="3" w:tplc="1C4CDF08">
      <w:numFmt w:val="decimal"/>
      <w:lvlText w:val=""/>
      <w:lvlJc w:val="left"/>
    </w:lvl>
    <w:lvl w:ilvl="4" w:tplc="DADE065E">
      <w:numFmt w:val="decimal"/>
      <w:lvlText w:val=""/>
      <w:lvlJc w:val="left"/>
    </w:lvl>
    <w:lvl w:ilvl="5" w:tplc="94F866EC">
      <w:numFmt w:val="decimal"/>
      <w:lvlText w:val=""/>
      <w:lvlJc w:val="left"/>
    </w:lvl>
    <w:lvl w:ilvl="6" w:tplc="C4F44C30">
      <w:numFmt w:val="decimal"/>
      <w:lvlText w:val=""/>
      <w:lvlJc w:val="left"/>
    </w:lvl>
    <w:lvl w:ilvl="7" w:tplc="549A1DB0">
      <w:numFmt w:val="decimal"/>
      <w:lvlText w:val=""/>
      <w:lvlJc w:val="left"/>
    </w:lvl>
    <w:lvl w:ilvl="8" w:tplc="33AA7844">
      <w:numFmt w:val="decimal"/>
      <w:lvlText w:val=""/>
      <w:lvlJc w:val="left"/>
    </w:lvl>
  </w:abstractNum>
  <w:abstractNum w:abstractNumId="1" w15:restartNumberingAfterBreak="0">
    <w:nsid w:val="6BDE7B00"/>
    <w:multiLevelType w:val="hybridMultilevel"/>
    <w:tmpl w:val="2206CB16"/>
    <w:lvl w:ilvl="0" w:tplc="A2DC66B8">
      <w:start w:val="1"/>
      <w:numFmt w:val="bullet"/>
      <w:lvlText w:val="●"/>
      <w:lvlJc w:val="left"/>
      <w:pPr>
        <w:ind w:left="720" w:hanging="360"/>
      </w:pPr>
    </w:lvl>
    <w:lvl w:ilvl="1" w:tplc="FD78774A">
      <w:start w:val="1"/>
      <w:numFmt w:val="bullet"/>
      <w:lvlText w:val="○"/>
      <w:lvlJc w:val="left"/>
      <w:pPr>
        <w:ind w:left="1440" w:hanging="360"/>
      </w:pPr>
    </w:lvl>
    <w:lvl w:ilvl="2" w:tplc="B006698E">
      <w:start w:val="1"/>
      <w:numFmt w:val="bullet"/>
      <w:lvlText w:val="■"/>
      <w:lvlJc w:val="left"/>
      <w:pPr>
        <w:ind w:left="2160" w:hanging="360"/>
      </w:pPr>
    </w:lvl>
    <w:lvl w:ilvl="3" w:tplc="058AF6E6">
      <w:start w:val="1"/>
      <w:numFmt w:val="bullet"/>
      <w:lvlText w:val="●"/>
      <w:lvlJc w:val="left"/>
      <w:pPr>
        <w:ind w:left="2880" w:hanging="360"/>
      </w:pPr>
    </w:lvl>
    <w:lvl w:ilvl="4" w:tplc="74847960">
      <w:start w:val="1"/>
      <w:numFmt w:val="bullet"/>
      <w:lvlText w:val="○"/>
      <w:lvlJc w:val="left"/>
      <w:pPr>
        <w:ind w:left="3600" w:hanging="360"/>
      </w:pPr>
    </w:lvl>
    <w:lvl w:ilvl="5" w:tplc="FB9C5B20">
      <w:start w:val="1"/>
      <w:numFmt w:val="bullet"/>
      <w:lvlText w:val="■"/>
      <w:lvlJc w:val="left"/>
      <w:pPr>
        <w:ind w:left="4320" w:hanging="360"/>
      </w:pPr>
    </w:lvl>
    <w:lvl w:ilvl="6" w:tplc="6F881AAE">
      <w:start w:val="1"/>
      <w:numFmt w:val="bullet"/>
      <w:lvlText w:val="●"/>
      <w:lvlJc w:val="left"/>
      <w:pPr>
        <w:ind w:left="5040" w:hanging="360"/>
      </w:pPr>
    </w:lvl>
    <w:lvl w:ilvl="7" w:tplc="0DDC053C">
      <w:start w:val="1"/>
      <w:numFmt w:val="bullet"/>
      <w:lvlText w:val="●"/>
      <w:lvlJc w:val="left"/>
      <w:pPr>
        <w:ind w:left="5760" w:hanging="360"/>
      </w:pPr>
    </w:lvl>
    <w:lvl w:ilvl="8" w:tplc="1D3264F4">
      <w:start w:val="1"/>
      <w:numFmt w:val="bullet"/>
      <w:lvlText w:val="●"/>
      <w:lvlJc w:val="left"/>
      <w:pPr>
        <w:ind w:left="6480" w:hanging="360"/>
      </w:pPr>
    </w:lvl>
  </w:abstractNum>
  <w:num w:numId="1" w16cid:durableId="637691485">
    <w:abstractNumId w:val="1"/>
    <w:lvlOverride w:ilvl="0">
      <w:startOverride w:val="1"/>
    </w:lvlOverride>
  </w:num>
  <w:num w:numId="2" w16cid:durableId="19791891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D9"/>
    <w:rsid w:val="006909EC"/>
    <w:rsid w:val="00957DD9"/>
    <w:rsid w:val="00A60FA3"/>
    <w:rsid w:val="00DB74A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08BFB4E"/>
  <w15:docId w15:val="{3678EEC1-7705-5C42-BBDD-8348F94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A3E"/>
        <w:sz w:val="22"/>
        <w:szCs w:val="22"/>
        <w:lang w:val="ru-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60" w:after="120"/>
      <w:outlineLvl w:val="0"/>
    </w:pPr>
    <w:rPr>
      <w:b/>
      <w:bCs/>
      <w:color w:val="3B2D8F"/>
      <w:sz w:val="28"/>
      <w:szCs w:val="28"/>
    </w:rPr>
  </w:style>
  <w:style w:type="paragraph" w:styleId="2">
    <w:name w:val="heading 2"/>
    <w:uiPriority w:val="9"/>
    <w:unhideWhenUsed/>
    <w:qFormat/>
    <w:pPr>
      <w:spacing w:before="240" w:after="80"/>
      <w:outlineLvl w:val="1"/>
    </w:pPr>
    <w:rPr>
      <w:b/>
      <w:bCs/>
      <w:color w:val="1A1040"/>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Iryna Ilchenko</cp:lastModifiedBy>
  <cp:revision>2</cp:revision>
  <dcterms:created xsi:type="dcterms:W3CDTF">2026-03-11T08:52:00Z</dcterms:created>
  <dcterms:modified xsi:type="dcterms:W3CDTF">2026-03-11T08:52:00Z</dcterms:modified>
</cp:coreProperties>
</file>